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69" w:rsidRDefault="0003637F" w:rsidP="00FA043B">
      <w:pPr>
        <w:pStyle w:val="Heading2"/>
        <w:spacing w:before="59" w:line="23" w:lineRule="atLeast"/>
        <w:ind w:right="127"/>
        <w:jc w:val="center"/>
      </w:pPr>
      <w:r>
        <w:t xml:space="preserve">Pengaruh </w:t>
      </w:r>
      <w:r>
        <w:rPr>
          <w:lang w:val="en-US"/>
        </w:rPr>
        <w:t>Dividend Per Share</w:t>
      </w:r>
      <w:r>
        <w:t xml:space="preserve"> Dan Debt To Equity Ratio Terhadap </w:t>
      </w:r>
      <w:r>
        <w:rPr>
          <w:lang w:val="en-US"/>
        </w:rPr>
        <w:t>Harga</w:t>
      </w:r>
      <w:r>
        <w:t xml:space="preserve"> Saham Pada Pt. </w:t>
      </w:r>
      <w:r>
        <w:rPr>
          <w:lang w:val="en-US"/>
        </w:rPr>
        <w:t>Harum Energy</w:t>
      </w:r>
      <w:r>
        <w:t>, Tbk.</w:t>
      </w:r>
    </w:p>
    <w:p w:rsidR="00D57F69" w:rsidRPr="0031438C" w:rsidRDefault="0003637F" w:rsidP="00FA043B">
      <w:pPr>
        <w:spacing w:before="195" w:line="23" w:lineRule="atLeast"/>
        <w:ind w:left="742" w:right="768"/>
        <w:jc w:val="center"/>
        <w:rPr>
          <w:b/>
          <w:vertAlign w:val="superscript"/>
          <w:lang w:val="en-US"/>
        </w:rPr>
      </w:pPr>
      <w:r w:rsidRPr="0031438C">
        <w:rPr>
          <w:b/>
          <w:lang w:val="en-US"/>
        </w:rPr>
        <w:t>Jumriani</w:t>
      </w:r>
      <w:r w:rsidR="0031438C" w:rsidRPr="0031438C">
        <w:rPr>
          <w:b/>
          <w:vertAlign w:val="superscript"/>
          <w:lang w:val="en-US"/>
        </w:rPr>
        <w:t>1</w:t>
      </w:r>
      <w:r w:rsidR="0031438C" w:rsidRPr="0031438C">
        <w:rPr>
          <w:b/>
          <w:lang w:val="en-US"/>
        </w:rPr>
        <w:t>, Sadaria</w:t>
      </w:r>
      <w:r w:rsidR="0031438C" w:rsidRPr="0031438C">
        <w:rPr>
          <w:b/>
          <w:vertAlign w:val="superscript"/>
          <w:lang w:val="en-US"/>
        </w:rPr>
        <w:t>2</w:t>
      </w:r>
      <w:r w:rsidR="0031438C" w:rsidRPr="0031438C">
        <w:rPr>
          <w:b/>
          <w:lang w:val="en-US"/>
        </w:rPr>
        <w:t>, Ronny Achmad Asirie</w:t>
      </w:r>
      <w:r w:rsidR="0031438C" w:rsidRPr="0031438C">
        <w:rPr>
          <w:b/>
          <w:vertAlign w:val="superscript"/>
          <w:lang w:val="en-US"/>
        </w:rPr>
        <w:t>3</w:t>
      </w:r>
    </w:p>
    <w:p w:rsidR="0031438C" w:rsidRPr="0031438C" w:rsidRDefault="0031438C" w:rsidP="0031438C">
      <w:pPr>
        <w:spacing w:before="120" w:after="120" w:line="23" w:lineRule="atLeast"/>
        <w:ind w:left="743" w:right="765"/>
        <w:jc w:val="center"/>
        <w:rPr>
          <w:b/>
          <w:lang w:val="en-US"/>
        </w:rPr>
      </w:pPr>
      <w:r w:rsidRPr="0031438C">
        <w:rPr>
          <w:b/>
          <w:vertAlign w:val="superscript"/>
          <w:lang w:val="en-US"/>
        </w:rPr>
        <w:t>1,2,3</w:t>
      </w:r>
      <w:r w:rsidRPr="0031438C">
        <w:rPr>
          <w:b/>
          <w:lang w:val="en-US"/>
        </w:rPr>
        <w:t>STIE Tri Dharma Nusantara</w:t>
      </w:r>
    </w:p>
    <w:p w:rsidR="00D57F69" w:rsidRPr="0031438C" w:rsidRDefault="0003637F" w:rsidP="00FA043B">
      <w:pPr>
        <w:spacing w:before="3" w:line="23" w:lineRule="atLeast"/>
        <w:ind w:left="742" w:right="765"/>
        <w:jc w:val="center"/>
        <w:rPr>
          <w:b/>
        </w:rPr>
      </w:pPr>
      <w:r w:rsidRPr="0031438C">
        <w:rPr>
          <w:b/>
        </w:rPr>
        <w:t>Email</w:t>
      </w:r>
      <w:r w:rsidRPr="0031438C">
        <w:rPr>
          <w:b/>
          <w:spacing w:val="-3"/>
        </w:rPr>
        <w:t xml:space="preserve"> </w:t>
      </w:r>
      <w:r w:rsidRPr="0031438C">
        <w:rPr>
          <w:b/>
        </w:rPr>
        <w:t>:</w:t>
      </w:r>
      <w:r w:rsidRPr="0031438C">
        <w:rPr>
          <w:b/>
          <w:spacing w:val="-2"/>
        </w:rPr>
        <w:t xml:space="preserve"> </w:t>
      </w:r>
      <w:hyperlink r:id="rId9">
        <w:r w:rsidRPr="0031438C">
          <w:rPr>
            <w:b/>
            <w:lang w:val="en-US"/>
          </w:rPr>
          <w:t>jumr0604</w:t>
        </w:r>
        <w:r w:rsidRPr="0031438C">
          <w:rPr>
            <w:b/>
            <w:spacing w:val="-2"/>
          </w:rPr>
          <w:t>@gmail.com</w:t>
        </w:r>
      </w:hyperlink>
    </w:p>
    <w:p w:rsidR="00D57F69" w:rsidRDefault="00D57F69" w:rsidP="00FA043B">
      <w:pPr>
        <w:pStyle w:val="BodyText"/>
        <w:spacing w:before="71" w:line="23" w:lineRule="atLeast"/>
        <w:ind w:left="0"/>
        <w:rPr>
          <w:sz w:val="22"/>
        </w:rPr>
      </w:pPr>
    </w:p>
    <w:p w:rsidR="00D57F69" w:rsidRDefault="0003637F" w:rsidP="00FA043B">
      <w:pPr>
        <w:pStyle w:val="Heading2"/>
        <w:spacing w:line="23" w:lineRule="atLeast"/>
      </w:pPr>
      <w:r>
        <w:rPr>
          <w:spacing w:val="-2"/>
        </w:rPr>
        <w:t>Abstrak</w:t>
      </w:r>
    </w:p>
    <w:p w:rsidR="00D57F69" w:rsidRDefault="0003637F" w:rsidP="00FA043B">
      <w:pPr>
        <w:tabs>
          <w:tab w:val="left" w:pos="567"/>
        </w:tabs>
        <w:spacing w:line="23" w:lineRule="atLeast"/>
        <w:jc w:val="both"/>
        <w:rPr>
          <w:sz w:val="24"/>
        </w:rPr>
      </w:pPr>
      <w:r>
        <w:rPr>
          <w:rFonts w:ascii="Arial" w:eastAsia="Arial" w:hAnsi="Arial" w:cs="Arial"/>
          <w:sz w:val="24"/>
          <w:szCs w:val="24"/>
          <w:lang w:val="en-US"/>
        </w:rPr>
        <w:tab/>
      </w:r>
      <w:r>
        <w:rPr>
          <w:rFonts w:ascii="Arial" w:eastAsia="Arial" w:hAnsi="Arial" w:cs="Arial"/>
          <w:sz w:val="24"/>
          <w:szCs w:val="24"/>
        </w:rPr>
        <w:t>T</w:t>
      </w:r>
      <w:r>
        <w:rPr>
          <w:rFonts w:eastAsia="Arial"/>
          <w:sz w:val="24"/>
          <w:szCs w:val="24"/>
        </w:rPr>
        <w:t xml:space="preserve">ujuan penelitian ini adalah untuk mengetahui pengaruh </w:t>
      </w:r>
      <w:r>
        <w:rPr>
          <w:rFonts w:eastAsia="Arial"/>
          <w:i/>
          <w:sz w:val="24"/>
          <w:szCs w:val="24"/>
        </w:rPr>
        <w:t xml:space="preserve">Dividend Per Share </w:t>
      </w:r>
      <w:r>
        <w:rPr>
          <w:rFonts w:eastAsia="Arial"/>
          <w:sz w:val="24"/>
          <w:szCs w:val="24"/>
        </w:rPr>
        <w:t xml:space="preserve">dan </w:t>
      </w:r>
      <w:r>
        <w:rPr>
          <w:rFonts w:eastAsia="Arial"/>
          <w:i/>
          <w:sz w:val="24"/>
          <w:szCs w:val="24"/>
        </w:rPr>
        <w:t xml:space="preserve">Debt to Equity Ratio </w:t>
      </w:r>
      <w:r>
        <w:rPr>
          <w:rFonts w:eastAsia="Arial"/>
          <w:sz w:val="24"/>
          <w:szCs w:val="24"/>
        </w:rPr>
        <w:t>terhadap Harga</w:t>
      </w:r>
      <w:r>
        <w:rPr>
          <w:rFonts w:eastAsia="Arial"/>
          <w:i/>
          <w:sz w:val="24"/>
          <w:szCs w:val="24"/>
        </w:rPr>
        <w:t xml:space="preserve"> </w:t>
      </w:r>
      <w:r>
        <w:rPr>
          <w:rFonts w:eastAsia="Arial"/>
          <w:sz w:val="24"/>
          <w:szCs w:val="24"/>
        </w:rPr>
        <w:t>Saham pada PT. Harum Energy, Tbk. Jenis data yang digunakan dalam penelitian ini yaitu data kuantitatif dan kualitatif, sumber data yang digunakan yaitu data sekunder. Metode analisis yang digunakan adalah regresi linear berganda sebesar Y= 2.102,691 + 4,338X</w:t>
      </w:r>
      <w:r>
        <w:rPr>
          <w:rFonts w:eastAsia="Arial"/>
          <w:sz w:val="24"/>
          <w:szCs w:val="24"/>
          <w:vertAlign w:val="subscript"/>
        </w:rPr>
        <w:t xml:space="preserve">1 </w:t>
      </w:r>
      <w:r>
        <w:rPr>
          <w:rFonts w:eastAsia="Arial"/>
          <w:sz w:val="24"/>
          <w:szCs w:val="24"/>
        </w:rPr>
        <w:t>– 17,674X</w:t>
      </w:r>
      <w:r>
        <w:rPr>
          <w:rFonts w:eastAsia="Arial"/>
          <w:sz w:val="24"/>
          <w:szCs w:val="24"/>
          <w:vertAlign w:val="subscript"/>
        </w:rPr>
        <w:t xml:space="preserve">2, </w:t>
      </w:r>
      <w:r>
        <w:rPr>
          <w:rFonts w:eastAsia="Arial"/>
          <w:sz w:val="24"/>
          <w:szCs w:val="24"/>
        </w:rPr>
        <w:t>Koefisien determinasi R</w:t>
      </w:r>
      <w:r>
        <w:rPr>
          <w:rFonts w:eastAsia="Arial"/>
          <w:sz w:val="24"/>
          <w:szCs w:val="24"/>
          <w:vertAlign w:val="superscript"/>
        </w:rPr>
        <w:t xml:space="preserve">2 </w:t>
      </w:r>
      <w:r>
        <w:rPr>
          <w:rFonts w:eastAsia="Arial"/>
          <w:sz w:val="24"/>
          <w:szCs w:val="24"/>
        </w:rPr>
        <w:t xml:space="preserve">= 0,084, koefisien korelasi r = 0,289, hal ini disimpulkan bahwa secara simultan terdapat pengaruh yang tidak signifikan pada variabel </w:t>
      </w:r>
      <w:r>
        <w:rPr>
          <w:rFonts w:eastAsia="Arial"/>
          <w:i/>
          <w:sz w:val="24"/>
          <w:szCs w:val="24"/>
        </w:rPr>
        <w:t>Dividend Per Share</w:t>
      </w:r>
      <w:r>
        <w:rPr>
          <w:rFonts w:eastAsia="Arial"/>
          <w:sz w:val="24"/>
          <w:szCs w:val="24"/>
        </w:rPr>
        <w:t xml:space="preserve"> dan </w:t>
      </w:r>
      <w:r>
        <w:rPr>
          <w:rFonts w:eastAsia="Arial"/>
          <w:i/>
          <w:sz w:val="24"/>
          <w:szCs w:val="24"/>
        </w:rPr>
        <w:t>Debt To Equity Ratio</w:t>
      </w:r>
      <w:r>
        <w:rPr>
          <w:rFonts w:eastAsia="Arial"/>
          <w:sz w:val="24"/>
          <w:szCs w:val="24"/>
        </w:rPr>
        <w:t xml:space="preserve"> terhadap Harga Saham pada PT. Harum Energy, Tbk. Secara parsial </w:t>
      </w:r>
      <w:r>
        <w:rPr>
          <w:rFonts w:eastAsia="Arial"/>
          <w:i/>
          <w:sz w:val="24"/>
          <w:szCs w:val="24"/>
        </w:rPr>
        <w:t>Dividend Per Share</w:t>
      </w:r>
      <w:r>
        <w:rPr>
          <w:rFonts w:eastAsia="Arial"/>
          <w:sz w:val="24"/>
          <w:szCs w:val="24"/>
        </w:rPr>
        <w:t xml:space="preserve"> mempunyai pengaruh positif dan tidak signifikan terhadap Harga Saham pada PT. Harum Energy, Tbk. dan secara parsial variabel </w:t>
      </w:r>
      <w:r>
        <w:rPr>
          <w:rFonts w:eastAsia="Arial"/>
          <w:i/>
          <w:sz w:val="24"/>
          <w:szCs w:val="24"/>
        </w:rPr>
        <w:t>Debt To Equity Ratio</w:t>
      </w:r>
      <w:r>
        <w:rPr>
          <w:rFonts w:eastAsia="Arial"/>
          <w:sz w:val="24"/>
          <w:szCs w:val="24"/>
        </w:rPr>
        <w:t xml:space="preserve"> berpengaruh tidak signifikan terhadap Harga Saham pada PT. Harum Energy, Tbk.</w:t>
      </w:r>
    </w:p>
    <w:p w:rsidR="00D57F69" w:rsidRDefault="0003637F" w:rsidP="00FA043B">
      <w:pPr>
        <w:spacing w:before="274" w:line="23" w:lineRule="atLeast"/>
        <w:ind w:left="100"/>
        <w:rPr>
          <w:sz w:val="24"/>
        </w:rPr>
      </w:pPr>
      <w:r>
        <w:rPr>
          <w:sz w:val="24"/>
        </w:rPr>
        <w:t>Kata</w:t>
      </w:r>
      <w:r>
        <w:rPr>
          <w:spacing w:val="-1"/>
          <w:sz w:val="24"/>
        </w:rPr>
        <w:t xml:space="preserve"> </w:t>
      </w:r>
      <w:r>
        <w:rPr>
          <w:sz w:val="24"/>
        </w:rPr>
        <w:t>kunci:</w:t>
      </w:r>
      <w:r>
        <w:rPr>
          <w:spacing w:val="-7"/>
          <w:sz w:val="24"/>
        </w:rPr>
        <w:t xml:space="preserve"> </w:t>
      </w:r>
      <w:r>
        <w:rPr>
          <w:i/>
          <w:iCs/>
          <w:spacing w:val="-7"/>
          <w:sz w:val="24"/>
          <w:lang w:val="en-US"/>
        </w:rPr>
        <w:t>Dividend per share</w:t>
      </w:r>
      <w:r>
        <w:rPr>
          <w:i/>
          <w:sz w:val="24"/>
        </w:rPr>
        <w:t>,</w:t>
      </w:r>
      <w:r>
        <w:rPr>
          <w:i/>
          <w:spacing w:val="-1"/>
          <w:sz w:val="24"/>
        </w:rPr>
        <w:t xml:space="preserve"> </w:t>
      </w:r>
      <w:r>
        <w:rPr>
          <w:i/>
          <w:sz w:val="24"/>
        </w:rPr>
        <w:t>debt</w:t>
      </w:r>
      <w:r>
        <w:rPr>
          <w:i/>
          <w:spacing w:val="-2"/>
          <w:sz w:val="24"/>
        </w:rPr>
        <w:t xml:space="preserve"> </w:t>
      </w:r>
      <w:r>
        <w:rPr>
          <w:i/>
          <w:sz w:val="24"/>
        </w:rPr>
        <w:t>to</w:t>
      </w:r>
      <w:r>
        <w:rPr>
          <w:i/>
          <w:spacing w:val="-2"/>
          <w:sz w:val="24"/>
        </w:rPr>
        <w:t xml:space="preserve"> </w:t>
      </w:r>
      <w:r>
        <w:rPr>
          <w:i/>
          <w:sz w:val="24"/>
        </w:rPr>
        <w:t>equity</w:t>
      </w:r>
      <w:r>
        <w:rPr>
          <w:i/>
          <w:spacing w:val="-1"/>
          <w:sz w:val="24"/>
        </w:rPr>
        <w:t xml:space="preserve"> </w:t>
      </w:r>
      <w:r>
        <w:rPr>
          <w:i/>
          <w:sz w:val="24"/>
        </w:rPr>
        <w:t>ratio,</w:t>
      </w:r>
      <w:r>
        <w:rPr>
          <w:i/>
          <w:spacing w:val="-1"/>
          <w:sz w:val="24"/>
        </w:rPr>
        <w:t xml:space="preserve"> </w:t>
      </w:r>
      <w:r>
        <w:rPr>
          <w:iCs/>
          <w:spacing w:val="-1"/>
          <w:sz w:val="24"/>
          <w:lang w:val="en-US"/>
        </w:rPr>
        <w:t>harga</w:t>
      </w:r>
      <w:r>
        <w:rPr>
          <w:i/>
          <w:spacing w:val="5"/>
          <w:sz w:val="24"/>
        </w:rPr>
        <w:t xml:space="preserve"> </w:t>
      </w:r>
      <w:r>
        <w:rPr>
          <w:spacing w:val="-2"/>
          <w:sz w:val="24"/>
        </w:rPr>
        <w:t>saham.</w:t>
      </w:r>
    </w:p>
    <w:p w:rsidR="00D57F69" w:rsidRDefault="00D57F69" w:rsidP="00FA043B">
      <w:pPr>
        <w:pStyle w:val="BodyText"/>
        <w:spacing w:before="7" w:line="23" w:lineRule="atLeast"/>
        <w:ind w:left="0"/>
      </w:pPr>
    </w:p>
    <w:p w:rsidR="00D57F69" w:rsidRDefault="0003637F" w:rsidP="00FA043B">
      <w:pPr>
        <w:pStyle w:val="Heading2"/>
        <w:spacing w:line="23" w:lineRule="atLeast"/>
      </w:pPr>
      <w:r>
        <w:rPr>
          <w:spacing w:val="-2"/>
        </w:rPr>
        <w:t>Abstract</w:t>
      </w:r>
    </w:p>
    <w:p w:rsidR="00D57F69" w:rsidRDefault="0003637F" w:rsidP="00FA043B">
      <w:pPr>
        <w:spacing w:line="23" w:lineRule="atLeast"/>
        <w:ind w:firstLine="720"/>
        <w:jc w:val="both"/>
        <w:rPr>
          <w:rFonts w:eastAsia="Arial"/>
          <w:sz w:val="24"/>
          <w:szCs w:val="24"/>
        </w:rPr>
      </w:pPr>
      <w:r>
        <w:rPr>
          <w:rFonts w:eastAsia="Arial"/>
          <w:sz w:val="24"/>
          <w:szCs w:val="24"/>
        </w:rPr>
        <w:t xml:space="preserve">The purpose of this research is to determine the effect of </w:t>
      </w:r>
      <w:r>
        <w:rPr>
          <w:rFonts w:eastAsia="Arial"/>
          <w:i/>
          <w:sz w:val="24"/>
          <w:szCs w:val="24"/>
        </w:rPr>
        <w:t>Dividend Per Share</w:t>
      </w:r>
      <w:r>
        <w:rPr>
          <w:rFonts w:eastAsia="Arial"/>
          <w:sz w:val="24"/>
          <w:szCs w:val="24"/>
        </w:rPr>
        <w:t xml:space="preserve"> and </w:t>
      </w:r>
      <w:r>
        <w:rPr>
          <w:rFonts w:eastAsia="Arial"/>
          <w:i/>
          <w:sz w:val="24"/>
          <w:szCs w:val="24"/>
        </w:rPr>
        <w:t>Debt To Equity</w:t>
      </w:r>
      <w:r>
        <w:rPr>
          <w:rFonts w:eastAsia="Arial"/>
          <w:sz w:val="24"/>
          <w:szCs w:val="24"/>
        </w:rPr>
        <w:t xml:space="preserve"> </w:t>
      </w:r>
      <w:r>
        <w:rPr>
          <w:rFonts w:eastAsia="Arial"/>
          <w:i/>
          <w:sz w:val="24"/>
          <w:szCs w:val="24"/>
        </w:rPr>
        <w:t>Ratio</w:t>
      </w:r>
      <w:r>
        <w:rPr>
          <w:rFonts w:eastAsia="Arial"/>
          <w:sz w:val="24"/>
          <w:szCs w:val="24"/>
        </w:rPr>
        <w:t xml:space="preserve"> on Share Prices at PT. Harum Energy, Tbk. The type of qualitative and quantitative data. The analytical methods used are descriptive analysis and multiple linear regression, coefficient of determination, correlation coefficient, f test, and t test. The research results of the regression equation Y = 2.102,691 + 4,338X1 – 17,674X2 coefficient of determination, R</w:t>
      </w:r>
      <w:r w:rsidR="00CC0943">
        <w:rPr>
          <w:rFonts w:eastAsia="Arial"/>
          <w:sz w:val="24"/>
          <w:szCs w:val="24"/>
        </w:rPr>
        <w:t xml:space="preserve">2 = 0,084 and </w:t>
      </w:r>
      <w:r>
        <w:rPr>
          <w:rFonts w:eastAsia="Arial"/>
          <w:sz w:val="24"/>
          <w:szCs w:val="24"/>
        </w:rPr>
        <w:t xml:space="preserve">correlation coefficient r = 0,289 simultaneously there is an insignificant influence on the </w:t>
      </w:r>
      <w:r>
        <w:rPr>
          <w:rFonts w:eastAsia="Arial"/>
          <w:i/>
          <w:sz w:val="24"/>
          <w:szCs w:val="24"/>
        </w:rPr>
        <w:t>Dividend Per Share</w:t>
      </w:r>
      <w:r>
        <w:rPr>
          <w:rFonts w:eastAsia="Arial"/>
          <w:sz w:val="24"/>
          <w:szCs w:val="24"/>
        </w:rPr>
        <w:t xml:space="preserve"> and </w:t>
      </w:r>
      <w:r>
        <w:rPr>
          <w:rFonts w:eastAsia="Arial"/>
          <w:i/>
          <w:sz w:val="24"/>
          <w:szCs w:val="24"/>
        </w:rPr>
        <w:t>debt To Equity Ratio</w:t>
      </w:r>
      <w:r>
        <w:rPr>
          <w:rFonts w:eastAsia="Arial"/>
          <w:sz w:val="24"/>
          <w:szCs w:val="24"/>
        </w:rPr>
        <w:t xml:space="preserve"> variables on share prices at PT. Harum Energy, Tbk. Partially, </w:t>
      </w:r>
      <w:r>
        <w:rPr>
          <w:rFonts w:eastAsia="Arial"/>
          <w:i/>
          <w:sz w:val="24"/>
          <w:szCs w:val="24"/>
        </w:rPr>
        <w:t>Dividend Per Share</w:t>
      </w:r>
      <w:r>
        <w:rPr>
          <w:rFonts w:eastAsia="Arial"/>
          <w:sz w:val="24"/>
          <w:szCs w:val="24"/>
        </w:rPr>
        <w:t xml:space="preserve"> has a positive and significant influence on share prices and partially </w:t>
      </w:r>
      <w:r>
        <w:rPr>
          <w:rFonts w:eastAsia="Arial"/>
          <w:i/>
          <w:sz w:val="24"/>
          <w:szCs w:val="24"/>
        </w:rPr>
        <w:t>Debt To Equity Ratio</w:t>
      </w:r>
      <w:r>
        <w:rPr>
          <w:rFonts w:eastAsia="Arial"/>
          <w:sz w:val="24"/>
          <w:szCs w:val="24"/>
        </w:rPr>
        <w:t xml:space="preserve"> has a negative and insignificant influence on share prices.</w:t>
      </w:r>
    </w:p>
    <w:p w:rsidR="00D57F69" w:rsidRDefault="00D57F69" w:rsidP="00FA043B">
      <w:pPr>
        <w:pStyle w:val="BodyText"/>
        <w:spacing w:line="23" w:lineRule="atLeast"/>
      </w:pPr>
    </w:p>
    <w:p w:rsidR="00D57F69" w:rsidRDefault="0003637F" w:rsidP="00FA043B">
      <w:pPr>
        <w:pStyle w:val="BodyText"/>
        <w:spacing w:line="23" w:lineRule="atLeast"/>
      </w:pPr>
      <w:r>
        <w:t>Keywords:</w:t>
      </w:r>
      <w:r>
        <w:rPr>
          <w:spacing w:val="-8"/>
        </w:rPr>
        <w:t xml:space="preserve"> </w:t>
      </w:r>
      <w:r>
        <w:rPr>
          <w:i/>
          <w:iCs/>
          <w:spacing w:val="-8"/>
          <w:lang w:val="en-US"/>
        </w:rPr>
        <w:t>Dividend per share</w:t>
      </w:r>
      <w:r>
        <w:rPr>
          <w:i/>
          <w:iCs/>
        </w:rPr>
        <w:t>,</w:t>
      </w:r>
      <w:r>
        <w:rPr>
          <w:i/>
          <w:iCs/>
          <w:spacing w:val="-1"/>
        </w:rPr>
        <w:t xml:space="preserve"> </w:t>
      </w:r>
      <w:r>
        <w:rPr>
          <w:i/>
          <w:iCs/>
        </w:rPr>
        <w:t>debt to</w:t>
      </w:r>
      <w:r>
        <w:rPr>
          <w:i/>
          <w:iCs/>
          <w:spacing w:val="-1"/>
        </w:rPr>
        <w:t xml:space="preserve"> </w:t>
      </w:r>
      <w:r>
        <w:rPr>
          <w:i/>
          <w:iCs/>
        </w:rPr>
        <w:t>equity</w:t>
      </w:r>
      <w:r>
        <w:rPr>
          <w:i/>
          <w:iCs/>
          <w:spacing w:val="-5"/>
        </w:rPr>
        <w:t xml:space="preserve"> </w:t>
      </w:r>
      <w:r>
        <w:rPr>
          <w:i/>
          <w:iCs/>
        </w:rPr>
        <w:t>ratio,</w:t>
      </w:r>
      <w:r>
        <w:rPr>
          <w:i/>
          <w:iCs/>
          <w:spacing w:val="-1"/>
        </w:rPr>
        <w:t xml:space="preserve"> </w:t>
      </w:r>
      <w:r>
        <w:rPr>
          <w:i/>
          <w:iCs/>
        </w:rPr>
        <w:t xml:space="preserve">stock </w:t>
      </w:r>
      <w:r>
        <w:rPr>
          <w:i/>
          <w:iCs/>
          <w:lang w:val="en-US"/>
        </w:rPr>
        <w:t>price</w:t>
      </w:r>
      <w:r>
        <w:rPr>
          <w:i/>
          <w:iCs/>
          <w:spacing w:val="-2"/>
        </w:rPr>
        <w:t>.</w:t>
      </w:r>
    </w:p>
    <w:p w:rsidR="00D57F69" w:rsidRDefault="00D57F69" w:rsidP="00FA043B">
      <w:pPr>
        <w:pStyle w:val="BodyText"/>
        <w:spacing w:before="126" w:line="23" w:lineRule="atLeast"/>
        <w:ind w:left="0"/>
      </w:pPr>
    </w:p>
    <w:p w:rsidR="00D57F69" w:rsidRDefault="0003637F" w:rsidP="00FA043B">
      <w:pPr>
        <w:pStyle w:val="Heading1"/>
        <w:spacing w:before="1" w:line="23" w:lineRule="atLeast"/>
      </w:pPr>
      <w:r>
        <w:rPr>
          <w:spacing w:val="-2"/>
        </w:rPr>
        <w:t>PENDAHULUAN</w:t>
      </w:r>
    </w:p>
    <w:p w:rsidR="00C03F13" w:rsidRDefault="00CC0943" w:rsidP="00FA043B">
      <w:pPr>
        <w:spacing w:line="23" w:lineRule="atLeast"/>
        <w:ind w:firstLine="720"/>
        <w:jc w:val="both"/>
        <w:rPr>
          <w:rFonts w:eastAsia="Arial"/>
          <w:sz w:val="24"/>
          <w:szCs w:val="24"/>
        </w:rPr>
      </w:pPr>
      <w:r w:rsidRPr="00CC0943">
        <w:rPr>
          <w:rFonts w:eastAsia="Arial"/>
          <w:sz w:val="24"/>
          <w:szCs w:val="24"/>
        </w:rPr>
        <w:t>Sejalan dengan berkembangnya perekonomian, pada era globalisasi seperti sekarang ini banyak perusahaan yang melakukan usaha yang modal bisnis barang produksi tidak berwujud yang bertujuan untuk memperoleh suatu keuntungan yang biasa disebut perusahaan jasa. Perusahaan jasa adalah perusahaan yang produk usahanya berupa jasa bukan barang, misalnya pariwi</w:t>
      </w:r>
      <w:r>
        <w:rPr>
          <w:rFonts w:eastAsia="Arial"/>
          <w:sz w:val="24"/>
          <w:szCs w:val="24"/>
        </w:rPr>
        <w:t xml:space="preserve">sata, pelayanan dan sebagainya </w:t>
      </w:r>
      <w:r w:rsidRPr="00CC0943">
        <w:rPr>
          <w:rFonts w:eastAsia="Arial"/>
          <w:sz w:val="24"/>
          <w:szCs w:val="24"/>
        </w:rPr>
        <w:t>dengan jumlah lembar saham yang dimiliki.</w:t>
      </w:r>
    </w:p>
    <w:p w:rsidR="0092449A" w:rsidRDefault="00CC0943" w:rsidP="00FA043B">
      <w:pPr>
        <w:spacing w:line="23" w:lineRule="atLeast"/>
        <w:jc w:val="both"/>
        <w:rPr>
          <w:rFonts w:eastAsia="Arial"/>
          <w:sz w:val="24"/>
          <w:szCs w:val="24"/>
        </w:rPr>
      </w:pPr>
      <w:r w:rsidRPr="00CC0943">
        <w:rPr>
          <w:rFonts w:eastAsia="Arial"/>
          <w:i/>
          <w:sz w:val="24"/>
          <w:szCs w:val="24"/>
        </w:rPr>
        <w:t>Dividend Per Share</w:t>
      </w:r>
      <w:r w:rsidRPr="00CC0943">
        <w:rPr>
          <w:rFonts w:eastAsia="Arial"/>
          <w:sz w:val="24"/>
          <w:szCs w:val="24"/>
        </w:rPr>
        <w:t xml:space="preserve"> merupakan semua total dividen tunai yang dibagikan dengan jumlah saham yang beredar. </w:t>
      </w:r>
    </w:p>
    <w:p w:rsidR="0092449A" w:rsidRDefault="0092449A" w:rsidP="00FA043B">
      <w:pPr>
        <w:spacing w:line="23" w:lineRule="atLeast"/>
        <w:ind w:firstLine="720"/>
        <w:jc w:val="both"/>
        <w:rPr>
          <w:rFonts w:eastAsia="Arial"/>
          <w:sz w:val="24"/>
          <w:szCs w:val="24"/>
        </w:rPr>
      </w:pPr>
    </w:p>
    <w:p w:rsidR="0092449A" w:rsidRDefault="0092449A" w:rsidP="00FA043B">
      <w:pPr>
        <w:spacing w:line="23" w:lineRule="atLeast"/>
        <w:ind w:firstLine="720"/>
        <w:jc w:val="both"/>
        <w:rPr>
          <w:rFonts w:eastAsia="Arial"/>
          <w:sz w:val="24"/>
          <w:szCs w:val="24"/>
        </w:rPr>
      </w:pPr>
    </w:p>
    <w:p w:rsidR="0092449A" w:rsidRDefault="0092449A" w:rsidP="00FA043B">
      <w:pPr>
        <w:spacing w:line="23" w:lineRule="atLeast"/>
        <w:ind w:firstLine="720"/>
        <w:jc w:val="both"/>
        <w:rPr>
          <w:rFonts w:eastAsia="Arial"/>
          <w:sz w:val="24"/>
          <w:szCs w:val="24"/>
        </w:rPr>
      </w:pPr>
    </w:p>
    <w:p w:rsidR="0092449A" w:rsidRDefault="0092449A" w:rsidP="00FA043B">
      <w:pPr>
        <w:spacing w:line="23" w:lineRule="atLeast"/>
        <w:ind w:firstLine="720"/>
        <w:jc w:val="both"/>
        <w:rPr>
          <w:rFonts w:eastAsia="Arial"/>
          <w:sz w:val="24"/>
          <w:szCs w:val="24"/>
        </w:rPr>
      </w:pPr>
    </w:p>
    <w:p w:rsidR="00B40E26" w:rsidRDefault="00B40E26" w:rsidP="00FA043B">
      <w:pPr>
        <w:spacing w:line="23" w:lineRule="atLeast"/>
        <w:ind w:firstLine="720"/>
        <w:jc w:val="both"/>
        <w:rPr>
          <w:rFonts w:eastAsia="Arial"/>
          <w:sz w:val="24"/>
          <w:szCs w:val="24"/>
        </w:rPr>
      </w:pPr>
    </w:p>
    <w:p w:rsidR="00CC0943" w:rsidRDefault="00CC0943" w:rsidP="00FA043B">
      <w:pPr>
        <w:spacing w:line="23" w:lineRule="atLeast"/>
        <w:ind w:firstLine="720"/>
        <w:jc w:val="both"/>
        <w:rPr>
          <w:rFonts w:eastAsia="Arial"/>
          <w:sz w:val="24"/>
          <w:szCs w:val="24"/>
        </w:rPr>
      </w:pPr>
      <w:r w:rsidRPr="00CC0943">
        <w:rPr>
          <w:rFonts w:eastAsia="Arial"/>
          <w:sz w:val="24"/>
          <w:szCs w:val="24"/>
        </w:rPr>
        <w:t xml:space="preserve">Informasi mengenai </w:t>
      </w:r>
      <w:r w:rsidRPr="00CC0943">
        <w:rPr>
          <w:rFonts w:eastAsia="Arial"/>
          <w:i/>
          <w:sz w:val="24"/>
          <w:szCs w:val="24"/>
        </w:rPr>
        <w:t>Dividend Per Share</w:t>
      </w:r>
      <w:r w:rsidRPr="00CC0943">
        <w:rPr>
          <w:rFonts w:eastAsia="Arial"/>
          <w:sz w:val="24"/>
          <w:szCs w:val="24"/>
        </w:rPr>
        <w:t xml:space="preserve"> sangat diperlukan untuk mengetahui berapa besar keuntungan setiap lembar saham yang akan diterima oleh par</w:t>
      </w:r>
      <w:r w:rsidR="0092449A">
        <w:rPr>
          <w:rFonts w:eastAsia="Arial"/>
          <w:sz w:val="24"/>
          <w:szCs w:val="24"/>
        </w:rPr>
        <w:t xml:space="preserve">a pemegang saham atau </w:t>
      </w:r>
      <w:r w:rsidR="0092449A">
        <w:rPr>
          <w:rFonts w:eastAsia="Arial"/>
          <w:sz w:val="24"/>
          <w:szCs w:val="24"/>
        </w:rPr>
        <w:lastRenderedPageBreak/>
        <w:t xml:space="preserve">investor. </w:t>
      </w:r>
      <w:r w:rsidRPr="00CC0943">
        <w:rPr>
          <w:rFonts w:eastAsia="Arial"/>
          <w:sz w:val="24"/>
          <w:szCs w:val="24"/>
        </w:rPr>
        <w:t xml:space="preserve">Saham yang disukai oleh </w:t>
      </w:r>
      <w:r w:rsidRPr="00CC0943">
        <w:rPr>
          <w:rFonts w:eastAsia="Arial"/>
          <w:i/>
          <w:sz w:val="24"/>
          <w:szCs w:val="24"/>
        </w:rPr>
        <w:t>financial backer</w:t>
      </w:r>
      <w:r w:rsidRPr="00CC0943">
        <w:rPr>
          <w:rFonts w:eastAsia="Arial"/>
          <w:sz w:val="24"/>
          <w:szCs w:val="24"/>
        </w:rPr>
        <w:t xml:space="preserve"> adalah saham d</w:t>
      </w:r>
      <w:r w:rsidR="0092449A">
        <w:rPr>
          <w:rFonts w:eastAsia="Arial"/>
          <w:sz w:val="24"/>
          <w:szCs w:val="24"/>
        </w:rPr>
        <w:t xml:space="preserve">engan kebutuhan organisasi yang </w:t>
      </w:r>
      <w:r w:rsidRPr="00CC0943">
        <w:rPr>
          <w:rFonts w:eastAsia="Arial"/>
          <w:sz w:val="24"/>
          <w:szCs w:val="24"/>
        </w:rPr>
        <w:t xml:space="preserve">dapat diterima, umumnya dipertukarkan, dan harganya naik. Hal ini dapat dilihat dari kinerja keuangan yang berupa rasio-rasio keuangan. </w:t>
      </w:r>
    </w:p>
    <w:p w:rsidR="00CC0943" w:rsidRPr="00CC0943" w:rsidRDefault="00CC0943" w:rsidP="00FA043B">
      <w:pPr>
        <w:spacing w:line="23" w:lineRule="atLeast"/>
        <w:ind w:firstLine="720"/>
        <w:jc w:val="both"/>
        <w:rPr>
          <w:rFonts w:eastAsia="Arial"/>
          <w:sz w:val="24"/>
          <w:szCs w:val="24"/>
        </w:rPr>
      </w:pPr>
      <w:r w:rsidRPr="00CC0943">
        <w:rPr>
          <w:rFonts w:eastAsia="Arial"/>
          <w:sz w:val="24"/>
          <w:szCs w:val="24"/>
        </w:rPr>
        <w:t xml:space="preserve">Penggunaan rasio solvabilitas yaitu </w:t>
      </w:r>
      <w:r w:rsidRPr="00CC0943">
        <w:rPr>
          <w:rFonts w:eastAsia="Arial"/>
          <w:i/>
          <w:sz w:val="24"/>
          <w:szCs w:val="24"/>
        </w:rPr>
        <w:t xml:space="preserve">Debt To Equity Ratio </w:t>
      </w:r>
      <w:r w:rsidRPr="00CC0943">
        <w:rPr>
          <w:rFonts w:eastAsia="Arial"/>
          <w:sz w:val="24"/>
          <w:szCs w:val="24"/>
        </w:rPr>
        <w:t xml:space="preserve">dengan kata lain, rasio ini berfungsi untuk mengetahui setiap rupiah modal sendiri dijadikan untuk jaminan utang. Namun demikian nampaknya beberapa investor justru memandang bahwa perusahaan yang tumbuh pasti akan memerlukan hutang sebagai dana tambahan untuk memenuhi pendanaan pada perusahaan yang tumbuh. </w:t>
      </w:r>
    </w:p>
    <w:p w:rsidR="00CC0943" w:rsidRPr="00FA043B" w:rsidRDefault="00FA043B" w:rsidP="00FA043B">
      <w:pPr>
        <w:pStyle w:val="BodyText"/>
        <w:spacing w:before="120" w:after="120" w:line="23" w:lineRule="atLeast"/>
        <w:ind w:left="0"/>
        <w:rPr>
          <w:b/>
        </w:rPr>
      </w:pPr>
      <w:r w:rsidRPr="00FA043B">
        <w:rPr>
          <w:b/>
        </w:rPr>
        <w:t>TINJAUAN PUSTAKA</w:t>
      </w:r>
    </w:p>
    <w:p w:rsidR="00D57F69" w:rsidRDefault="00CC0943" w:rsidP="00FA043B">
      <w:pPr>
        <w:pStyle w:val="Heading3"/>
        <w:spacing w:line="23" w:lineRule="atLeast"/>
      </w:pPr>
      <w:r>
        <w:t>Dividend Per Share</w:t>
      </w:r>
    </w:p>
    <w:p w:rsidR="00CC0943" w:rsidRDefault="00CC0943" w:rsidP="00FA043B">
      <w:pPr>
        <w:pStyle w:val="ListParagraph"/>
        <w:spacing w:line="23" w:lineRule="atLeast"/>
        <w:ind w:firstLine="720"/>
        <w:rPr>
          <w:sz w:val="24"/>
          <w:lang w:val="id-ID"/>
        </w:rPr>
      </w:pPr>
      <w:r w:rsidRPr="00D00214">
        <w:rPr>
          <w:i/>
          <w:sz w:val="24"/>
          <w:lang w:val="id-ID"/>
        </w:rPr>
        <w:t xml:space="preserve">Dividend </w:t>
      </w:r>
      <w:r w:rsidRPr="00D00214">
        <w:rPr>
          <w:i/>
          <w:sz w:val="24"/>
        </w:rPr>
        <w:t>p</w:t>
      </w:r>
      <w:r w:rsidRPr="00D00214">
        <w:rPr>
          <w:i/>
          <w:sz w:val="24"/>
          <w:lang w:val="id-ID"/>
        </w:rPr>
        <w:t xml:space="preserve">er Share </w:t>
      </w:r>
      <w:r w:rsidRPr="00D00214">
        <w:rPr>
          <w:sz w:val="24"/>
        </w:rPr>
        <w:t>m</w:t>
      </w:r>
      <w:r w:rsidRPr="00D00214">
        <w:rPr>
          <w:sz w:val="24"/>
          <w:lang w:val="id-ID"/>
        </w:rPr>
        <w:t>erupakan rasio yang mengukur seberapa besar dividen yang dibagikan dibandingkan dengan dengan jumalah saham yang beredar pada tahun tertentu.</w:t>
      </w:r>
      <w:r w:rsidRPr="00D00214">
        <w:rPr>
          <w:sz w:val="24"/>
        </w:rPr>
        <w:t xml:space="preserve"> </w:t>
      </w:r>
      <w:r w:rsidRPr="00D00214">
        <w:rPr>
          <w:sz w:val="24"/>
          <w:lang w:val="id-ID"/>
        </w:rPr>
        <w:t xml:space="preserve">Rasio ini memberikan gambaran mengenai seberapa besar laba yang dibagikan dalam bentuk dividen kepada pemegang saham untuk tiap lembar saham (Lilianti, 2018:16). Adapun </w:t>
      </w:r>
      <w:r w:rsidRPr="00D00214">
        <w:rPr>
          <w:sz w:val="24"/>
        </w:rPr>
        <w:t>r</w:t>
      </w:r>
      <w:r w:rsidRPr="00D00214">
        <w:rPr>
          <w:sz w:val="24"/>
          <w:lang w:val="id-ID"/>
        </w:rPr>
        <w:t>umus DPS yaitu:</w:t>
      </w:r>
    </w:p>
    <w:p w:rsidR="00D00214" w:rsidRPr="00D00214" w:rsidRDefault="00D00214" w:rsidP="00FA043B">
      <w:pPr>
        <w:pStyle w:val="ListParagraph"/>
        <w:spacing w:line="23" w:lineRule="atLeast"/>
        <w:ind w:firstLine="720"/>
        <w:rPr>
          <w:i/>
          <w:sz w:val="24"/>
          <w:lang w:val="id-ID"/>
        </w:rPr>
      </w:pPr>
    </w:p>
    <w:p w:rsidR="00CC0943" w:rsidRPr="00D00214" w:rsidRDefault="00CC0943" w:rsidP="00FA043B">
      <w:pPr>
        <w:spacing w:line="23" w:lineRule="atLeast"/>
        <w:ind w:firstLine="720"/>
        <w:jc w:val="center"/>
        <w:rPr>
          <w:sz w:val="24"/>
        </w:rPr>
      </w:pPr>
      <w:r w:rsidRPr="00D00214">
        <w:rPr>
          <w:i/>
          <w:sz w:val="24"/>
        </w:rPr>
        <w:t>Dividen per Share</w:t>
      </w:r>
      <w:r w:rsidR="00D00214">
        <w:rPr>
          <w:i/>
          <w:sz w:val="24"/>
        </w:rPr>
        <w:t xml:space="preserve"> </w:t>
      </w:r>
      <w:r w:rsidRPr="00D00214">
        <w:rPr>
          <w:i/>
          <w:sz w:val="24"/>
        </w:rPr>
        <w:t xml:space="preserve"> </w:t>
      </w:r>
      <w:r w:rsidRPr="00D00214">
        <w:rPr>
          <w:sz w:val="28"/>
        </w:rPr>
        <w:t xml:space="preserve">= </w:t>
      </w:r>
      <m:oMath>
        <m:f>
          <m:fPr>
            <m:ctrlPr>
              <w:rPr>
                <w:rFonts w:ascii="Cambria Math" w:hAnsi="Cambria Math"/>
                <w:iCs/>
                <w:sz w:val="32"/>
                <w:szCs w:val="32"/>
              </w:rPr>
            </m:ctrlPr>
          </m:fPr>
          <m:num>
            <m:r>
              <m:rPr>
                <m:nor/>
              </m:rPr>
              <w:rPr>
                <w:sz w:val="32"/>
                <w:szCs w:val="32"/>
              </w:rPr>
              <m:t>Total Dividen yang Dibagikan</m:t>
            </m:r>
          </m:num>
          <m:den>
            <m:r>
              <m:rPr>
                <m:nor/>
              </m:rPr>
              <w:rPr>
                <w:sz w:val="32"/>
                <w:szCs w:val="32"/>
              </w:rPr>
              <m:t>Jumlah Saham yang Beredar</m:t>
            </m:r>
          </m:den>
        </m:f>
      </m:oMath>
      <w:r w:rsidR="00D00214">
        <w:rPr>
          <w:iCs/>
          <w:sz w:val="32"/>
          <w:szCs w:val="32"/>
        </w:rPr>
        <w:t xml:space="preserve"> </w:t>
      </w:r>
      <w:r w:rsidR="00D00214">
        <w:rPr>
          <w:rFonts w:ascii="Arial MT" w:eastAsia="Arial MT"/>
          <w:w w:val="105"/>
          <w:sz w:val="24"/>
        </w:rPr>
        <w:t>x 100%</w:t>
      </w:r>
    </w:p>
    <w:p w:rsidR="00CC0943" w:rsidRDefault="00CC0943" w:rsidP="00FA043B">
      <w:pPr>
        <w:pStyle w:val="Heading3"/>
        <w:spacing w:line="23" w:lineRule="atLeast"/>
      </w:pPr>
    </w:p>
    <w:p w:rsidR="00D57F69" w:rsidRDefault="0003637F" w:rsidP="00FA043B">
      <w:pPr>
        <w:pStyle w:val="Heading3"/>
        <w:spacing w:before="236" w:line="23" w:lineRule="atLeast"/>
      </w:pPr>
      <w:r>
        <w:t>Debt</w:t>
      </w:r>
      <w:r>
        <w:rPr>
          <w:spacing w:val="-4"/>
        </w:rPr>
        <w:t xml:space="preserve"> </w:t>
      </w:r>
      <w:r>
        <w:t>to</w:t>
      </w:r>
      <w:r>
        <w:rPr>
          <w:spacing w:val="-7"/>
        </w:rPr>
        <w:t xml:space="preserve"> </w:t>
      </w:r>
      <w:r>
        <w:t>Equity</w:t>
      </w:r>
      <w:r>
        <w:rPr>
          <w:spacing w:val="4"/>
        </w:rPr>
        <w:t xml:space="preserve"> </w:t>
      </w:r>
      <w:r>
        <w:rPr>
          <w:spacing w:val="-4"/>
        </w:rPr>
        <w:t>Ratio</w:t>
      </w:r>
    </w:p>
    <w:p w:rsidR="00796457" w:rsidRDefault="00796457" w:rsidP="00FA043B">
      <w:pPr>
        <w:pStyle w:val="ListParagraph"/>
        <w:spacing w:line="23" w:lineRule="atLeast"/>
        <w:ind w:firstLine="720"/>
        <w:rPr>
          <w:sz w:val="24"/>
          <w:lang w:val="id-ID"/>
        </w:rPr>
      </w:pPr>
      <w:r>
        <w:rPr>
          <w:rFonts w:ascii="Arial" w:hAnsi="Arial" w:cs="Arial"/>
          <w:sz w:val="24"/>
          <w:lang w:val="id-ID"/>
        </w:rPr>
        <w:t xml:space="preserve"> </w:t>
      </w:r>
      <w:r w:rsidRPr="00796457">
        <w:rPr>
          <w:sz w:val="24"/>
          <w:lang w:val="id-ID"/>
        </w:rPr>
        <w:t xml:space="preserve">Kasmir (2017:157) bahwa </w:t>
      </w:r>
      <w:r w:rsidRPr="00796457">
        <w:rPr>
          <w:i/>
          <w:sz w:val="24"/>
          <w:lang w:val="id-ID"/>
        </w:rPr>
        <w:t xml:space="preserve">Debt </w:t>
      </w:r>
      <w:r w:rsidRPr="00796457">
        <w:rPr>
          <w:i/>
          <w:sz w:val="24"/>
        </w:rPr>
        <w:t>t</w:t>
      </w:r>
      <w:r w:rsidRPr="00796457">
        <w:rPr>
          <w:i/>
          <w:sz w:val="24"/>
          <w:lang w:val="id-ID"/>
        </w:rPr>
        <w:t>o Equity Ratio</w:t>
      </w:r>
      <w:r w:rsidRPr="00796457">
        <w:rPr>
          <w:sz w:val="24"/>
          <w:lang w:val="id-ID"/>
        </w:rPr>
        <w:t xml:space="preserve">  merupakan rasio yang digunakan untuk menilai utang dengan ekuitas. Adapun </w:t>
      </w:r>
      <w:r w:rsidRPr="00796457">
        <w:rPr>
          <w:sz w:val="24"/>
        </w:rPr>
        <w:t>r</w:t>
      </w:r>
      <w:r w:rsidRPr="00796457">
        <w:rPr>
          <w:sz w:val="24"/>
          <w:lang w:val="id-ID"/>
        </w:rPr>
        <w:t>umus DER yaitu :</w:t>
      </w:r>
    </w:p>
    <w:p w:rsidR="00796457" w:rsidRPr="00796457" w:rsidRDefault="00796457" w:rsidP="00FA043B">
      <w:pPr>
        <w:pStyle w:val="ListParagraph"/>
        <w:spacing w:line="23" w:lineRule="atLeast"/>
        <w:ind w:firstLine="720"/>
        <w:rPr>
          <w:sz w:val="24"/>
          <w:lang w:val="id-ID"/>
        </w:rPr>
      </w:pPr>
    </w:p>
    <w:p w:rsidR="00D57F69" w:rsidRDefault="00796457" w:rsidP="00FA043B">
      <w:pPr>
        <w:spacing w:line="23" w:lineRule="atLeast"/>
        <w:ind w:left="1440"/>
        <w:rPr>
          <w:rFonts w:ascii="Arial MT" w:eastAsia="Arial MT"/>
          <w:w w:val="105"/>
          <w:sz w:val="24"/>
        </w:rPr>
      </w:pPr>
      <w:r w:rsidRPr="00796457">
        <w:rPr>
          <w:i/>
          <w:sz w:val="24"/>
        </w:rPr>
        <w:t xml:space="preserve">Debt to Equity Ratio </w:t>
      </w:r>
      <w:r w:rsidRPr="00796457">
        <w:rPr>
          <w:sz w:val="28"/>
        </w:rPr>
        <w:t xml:space="preserve">= </w:t>
      </w:r>
      <m:oMath>
        <m:f>
          <m:fPr>
            <m:ctrlPr>
              <w:rPr>
                <w:rFonts w:ascii="Cambria Math" w:hAnsi="Cambria Math"/>
                <w:iCs/>
                <w:sz w:val="32"/>
                <w:szCs w:val="32"/>
              </w:rPr>
            </m:ctrlPr>
          </m:fPr>
          <m:num>
            <m:r>
              <m:rPr>
                <m:nor/>
              </m:rPr>
              <w:rPr>
                <w:sz w:val="32"/>
                <w:szCs w:val="32"/>
              </w:rPr>
              <m:t>Total Hutang</m:t>
            </m:r>
          </m:num>
          <m:den>
            <m:r>
              <m:rPr>
                <m:nor/>
              </m:rPr>
              <w:rPr>
                <w:sz w:val="32"/>
                <w:szCs w:val="32"/>
              </w:rPr>
              <m:t>Total Modal</m:t>
            </m:r>
          </m:den>
        </m:f>
      </m:oMath>
      <w:r>
        <w:rPr>
          <w:iCs/>
          <w:sz w:val="32"/>
          <w:szCs w:val="32"/>
        </w:rPr>
        <w:t xml:space="preserve"> </w:t>
      </w:r>
      <w:r>
        <w:rPr>
          <w:rFonts w:ascii="Arial MT" w:eastAsia="Arial MT"/>
          <w:w w:val="105"/>
          <w:sz w:val="24"/>
        </w:rPr>
        <w:t>x 100%</w:t>
      </w:r>
    </w:p>
    <w:p w:rsidR="00796457" w:rsidRPr="00796457" w:rsidRDefault="00796457" w:rsidP="00FA043B">
      <w:pPr>
        <w:spacing w:line="23" w:lineRule="atLeast"/>
        <w:ind w:left="1440"/>
        <w:rPr>
          <w:sz w:val="24"/>
        </w:rPr>
      </w:pPr>
    </w:p>
    <w:p w:rsidR="00D57F69" w:rsidRDefault="00CC0943" w:rsidP="00FA043B">
      <w:pPr>
        <w:pStyle w:val="Heading3"/>
        <w:spacing w:line="23" w:lineRule="atLeast"/>
      </w:pPr>
      <w:r>
        <w:t>Harga</w:t>
      </w:r>
      <w:r w:rsidR="0003637F">
        <w:rPr>
          <w:spacing w:val="-4"/>
        </w:rPr>
        <w:t xml:space="preserve"> </w:t>
      </w:r>
      <w:r w:rsidR="0003637F">
        <w:rPr>
          <w:spacing w:val="-2"/>
        </w:rPr>
        <w:t>Saham</w:t>
      </w:r>
    </w:p>
    <w:p w:rsidR="003E1EFB" w:rsidRDefault="00796457" w:rsidP="00FA043B">
      <w:pPr>
        <w:pStyle w:val="ListParagraph"/>
        <w:spacing w:line="23" w:lineRule="atLeast"/>
        <w:ind w:left="425" w:firstLine="720"/>
        <w:rPr>
          <w:sz w:val="24"/>
        </w:rPr>
      </w:pPr>
      <w:r w:rsidRPr="00796457">
        <w:rPr>
          <w:sz w:val="24"/>
        </w:rPr>
        <w:t>Harga sebuah saham sangat dipengaruhi oleh hukum permintaan dan penawaran. Harga saham cenderung naik apabila suatu saham mengalami kelebihan permintaan dan apabila terjadi kelebihan penawaran maka harga saham akan menurun. Adapun harga saham yang dipakai dalam penelitian ini yaitu harga saham penutupan (</w:t>
      </w:r>
      <w:r w:rsidRPr="00796457">
        <w:rPr>
          <w:i/>
          <w:sz w:val="24"/>
        </w:rPr>
        <w:t>closing price</w:t>
      </w:r>
      <w:r w:rsidRPr="00796457">
        <w:rPr>
          <w:sz w:val="24"/>
        </w:rPr>
        <w:t>) per tanggal 31 Desember tahun berjalan.</w:t>
      </w:r>
    </w:p>
    <w:p w:rsidR="00FA043B" w:rsidRDefault="00FA043B" w:rsidP="00FA043B">
      <w:pPr>
        <w:spacing w:line="23" w:lineRule="atLeast"/>
        <w:rPr>
          <w:sz w:val="24"/>
        </w:rPr>
      </w:pPr>
    </w:p>
    <w:p w:rsidR="00FA043B" w:rsidRPr="00FA043B" w:rsidRDefault="00FA043B" w:rsidP="00FA043B">
      <w:pPr>
        <w:pStyle w:val="ListParagraph"/>
        <w:widowControl/>
        <w:numPr>
          <w:ilvl w:val="0"/>
          <w:numId w:val="9"/>
        </w:numPr>
        <w:tabs>
          <w:tab w:val="left" w:pos="990"/>
        </w:tabs>
        <w:autoSpaceDE/>
        <w:autoSpaceDN/>
        <w:spacing w:line="23" w:lineRule="atLeast"/>
        <w:ind w:left="357" w:hanging="357"/>
        <w:rPr>
          <w:b/>
          <w:sz w:val="24"/>
          <w:lang w:val="en-US"/>
        </w:rPr>
      </w:pPr>
      <w:r w:rsidRPr="00FA043B">
        <w:rPr>
          <w:b/>
          <w:sz w:val="24"/>
        </w:rPr>
        <w:t xml:space="preserve">Hubungan </w:t>
      </w:r>
      <w:r w:rsidRPr="00FA043B">
        <w:rPr>
          <w:b/>
          <w:i/>
          <w:sz w:val="24"/>
        </w:rPr>
        <w:t>Dividend Per Share</w:t>
      </w:r>
      <w:r w:rsidRPr="00FA043B">
        <w:rPr>
          <w:b/>
          <w:sz w:val="24"/>
        </w:rPr>
        <w:t xml:space="preserve"> dan </w:t>
      </w:r>
      <w:r w:rsidRPr="00FA043B">
        <w:rPr>
          <w:b/>
          <w:i/>
          <w:sz w:val="24"/>
        </w:rPr>
        <w:t xml:space="preserve">Debt To Equity Ratio </w:t>
      </w:r>
      <w:r w:rsidRPr="00FA043B">
        <w:rPr>
          <w:b/>
          <w:sz w:val="24"/>
        </w:rPr>
        <w:t>dengan Harga Saham</w:t>
      </w:r>
    </w:p>
    <w:p w:rsidR="00FA043B" w:rsidRPr="00FA043B" w:rsidRDefault="00FA043B" w:rsidP="00FA043B">
      <w:pPr>
        <w:pStyle w:val="ListParagraph"/>
        <w:tabs>
          <w:tab w:val="left" w:pos="990"/>
        </w:tabs>
        <w:spacing w:line="23" w:lineRule="atLeast"/>
        <w:ind w:left="0"/>
        <w:rPr>
          <w:sz w:val="24"/>
          <w:szCs w:val="24"/>
        </w:rPr>
      </w:pPr>
      <w:r w:rsidRPr="00FA043B">
        <w:rPr>
          <w:i/>
          <w:iCs/>
          <w:color w:val="FFFFFF" w:themeColor="background1"/>
          <w:sz w:val="24"/>
          <w:szCs w:val="24"/>
        </w:rPr>
        <w:t>……</w:t>
      </w:r>
      <w:r w:rsidRPr="00FA043B">
        <w:rPr>
          <w:i/>
          <w:iCs/>
          <w:sz w:val="24"/>
          <w:szCs w:val="24"/>
        </w:rPr>
        <w:t xml:space="preserve">Dividend Per Share </w:t>
      </w:r>
      <w:r w:rsidRPr="00FA043B">
        <w:rPr>
          <w:sz w:val="24"/>
          <w:szCs w:val="24"/>
        </w:rPr>
        <w:t xml:space="preserve">dan </w:t>
      </w:r>
      <w:r w:rsidRPr="00FA043B">
        <w:rPr>
          <w:i/>
          <w:iCs/>
          <w:sz w:val="24"/>
          <w:szCs w:val="24"/>
        </w:rPr>
        <w:t xml:space="preserve">Debt To Equity Ratio </w:t>
      </w:r>
      <w:r w:rsidRPr="00FA043B">
        <w:rPr>
          <w:sz w:val="24"/>
          <w:szCs w:val="24"/>
        </w:rPr>
        <w:t>adalah salah satu instrumen dari rasio keuangan dan dividen yang diharapkan mempunyai hubungan</w:t>
      </w:r>
      <w:r w:rsidRPr="00FA043B">
        <w:rPr>
          <w:sz w:val="24"/>
          <w:szCs w:val="24"/>
          <w:lang w:val="id-ID"/>
        </w:rPr>
        <w:t xml:space="preserve"> </w:t>
      </w:r>
      <w:r w:rsidRPr="00FA043B">
        <w:rPr>
          <w:sz w:val="24"/>
          <w:szCs w:val="24"/>
        </w:rPr>
        <w:t xml:space="preserve">terhadap harga saham dengan demikian, </w:t>
      </w:r>
      <w:r w:rsidRPr="00FA043B">
        <w:rPr>
          <w:i/>
          <w:sz w:val="24"/>
          <w:szCs w:val="24"/>
        </w:rPr>
        <w:t>Dividend Per Share</w:t>
      </w:r>
      <w:r w:rsidRPr="00FA043B">
        <w:rPr>
          <w:sz w:val="24"/>
          <w:szCs w:val="24"/>
        </w:rPr>
        <w:t xml:space="preserve"> adalah</w:t>
      </w:r>
      <w:r w:rsidRPr="00FA043B">
        <w:rPr>
          <w:sz w:val="24"/>
          <w:szCs w:val="24"/>
          <w:lang w:val="id-ID"/>
        </w:rPr>
        <w:t xml:space="preserve"> </w:t>
      </w:r>
      <w:r w:rsidRPr="00FA043B">
        <w:rPr>
          <w:sz w:val="24"/>
          <w:szCs w:val="24"/>
        </w:rPr>
        <w:t xml:space="preserve">dividen yang dibayarkan per saham dari saham perusahaan. </w:t>
      </w:r>
      <w:r w:rsidRPr="00FA043B">
        <w:rPr>
          <w:color w:val="FFFFFF" w:themeColor="background1"/>
          <w:sz w:val="24"/>
          <w:szCs w:val="24"/>
        </w:rPr>
        <w:t>……</w:t>
      </w:r>
      <w:r w:rsidRPr="00FA043B">
        <w:rPr>
          <w:sz w:val="24"/>
          <w:szCs w:val="24"/>
        </w:rPr>
        <w:t>.</w:t>
      </w:r>
      <w:r w:rsidRPr="00FA043B">
        <w:rPr>
          <w:i/>
          <w:sz w:val="24"/>
          <w:szCs w:val="24"/>
        </w:rPr>
        <w:t>Dividend</w:t>
      </w:r>
      <w:r w:rsidRPr="00FA043B">
        <w:rPr>
          <w:i/>
          <w:sz w:val="24"/>
          <w:szCs w:val="24"/>
          <w:lang w:val="id-ID"/>
        </w:rPr>
        <w:t xml:space="preserve"> </w:t>
      </w:r>
      <w:r w:rsidRPr="00FA043B">
        <w:rPr>
          <w:i/>
          <w:sz w:val="24"/>
          <w:szCs w:val="24"/>
        </w:rPr>
        <w:t xml:space="preserve">Per Share </w:t>
      </w:r>
      <w:r w:rsidRPr="00FA043B">
        <w:rPr>
          <w:sz w:val="24"/>
          <w:szCs w:val="24"/>
        </w:rPr>
        <w:t>ini dapat dihitung dengan cara membagikan</w:t>
      </w:r>
      <w:r w:rsidRPr="00FA043B">
        <w:rPr>
          <w:sz w:val="24"/>
          <w:szCs w:val="24"/>
          <w:lang w:val="id-ID"/>
        </w:rPr>
        <w:t xml:space="preserve"> </w:t>
      </w:r>
      <w:r w:rsidRPr="00FA043B">
        <w:rPr>
          <w:sz w:val="24"/>
          <w:szCs w:val="24"/>
        </w:rPr>
        <w:t xml:space="preserve">dividen perusahaan dengan jumlah total lembar saham yang beredar. Jika dividen adalah total laba yang dimiliki perusahaan, maka </w:t>
      </w:r>
      <w:r w:rsidRPr="00FA043B">
        <w:rPr>
          <w:i/>
          <w:sz w:val="24"/>
          <w:szCs w:val="24"/>
        </w:rPr>
        <w:t xml:space="preserve">Dividend Per Share </w:t>
      </w:r>
      <w:r w:rsidRPr="00FA043B">
        <w:rPr>
          <w:sz w:val="24"/>
          <w:szCs w:val="24"/>
        </w:rPr>
        <w:t>adalah bagian dividen yang menjadi hak pemilik saham. Besarnya dividen akan bergantung pada lembar yang dimiliki pemegang saham pada saat itu.</w:t>
      </w:r>
    </w:p>
    <w:p w:rsidR="00FA043B" w:rsidRPr="00FA043B" w:rsidRDefault="00FA043B" w:rsidP="00FA043B">
      <w:pPr>
        <w:pStyle w:val="ListParagraph"/>
        <w:tabs>
          <w:tab w:val="left" w:pos="990"/>
        </w:tabs>
        <w:spacing w:line="23" w:lineRule="atLeast"/>
        <w:ind w:left="0"/>
        <w:rPr>
          <w:b/>
          <w:sz w:val="24"/>
        </w:rPr>
      </w:pPr>
      <w:r w:rsidRPr="00FA043B">
        <w:rPr>
          <w:color w:val="FFFFFF" w:themeColor="background1"/>
          <w:sz w:val="24"/>
          <w:szCs w:val="24"/>
        </w:rPr>
        <w:t>…….</w:t>
      </w:r>
      <w:r w:rsidRPr="00FA043B">
        <w:rPr>
          <w:sz w:val="24"/>
          <w:szCs w:val="24"/>
        </w:rPr>
        <w:t>Kasmir (2017:24) dividen</w:t>
      </w:r>
      <w:r w:rsidRPr="00FA043B">
        <w:rPr>
          <w:sz w:val="24"/>
          <w:szCs w:val="24"/>
          <w:lang w:val="id-ID"/>
        </w:rPr>
        <w:t xml:space="preserve"> </w:t>
      </w:r>
      <w:r w:rsidRPr="00FA043B">
        <w:rPr>
          <w:sz w:val="24"/>
          <w:szCs w:val="24"/>
        </w:rPr>
        <w:t xml:space="preserve">merupakan wujud atas pembagian laba per saham setiap investor. Kemampuan membayar dividen kepada investor dapat digambarkan dengan </w:t>
      </w:r>
      <w:r w:rsidRPr="00FA043B">
        <w:rPr>
          <w:i/>
          <w:sz w:val="24"/>
          <w:szCs w:val="24"/>
        </w:rPr>
        <w:t>Dividend Per Share.</w:t>
      </w:r>
      <w:r w:rsidRPr="00FA043B">
        <w:rPr>
          <w:sz w:val="24"/>
          <w:szCs w:val="24"/>
        </w:rPr>
        <w:t xml:space="preserve"> Informasi mengenai </w:t>
      </w:r>
      <w:r w:rsidRPr="00FA043B">
        <w:rPr>
          <w:i/>
          <w:sz w:val="24"/>
          <w:szCs w:val="24"/>
        </w:rPr>
        <w:t>Dividend Per Share</w:t>
      </w:r>
      <w:r w:rsidRPr="00FA043B">
        <w:rPr>
          <w:sz w:val="24"/>
          <w:szCs w:val="24"/>
        </w:rPr>
        <w:t xml:space="preserve"> sangat diperlukan untuk mengetahui beberapa berapa besar keuntungan setiap lembar saham yang akan diterima oleh para pemegang saham. Naiknya </w:t>
      </w:r>
      <w:r w:rsidRPr="00FA043B">
        <w:rPr>
          <w:i/>
          <w:sz w:val="24"/>
          <w:szCs w:val="24"/>
        </w:rPr>
        <w:t xml:space="preserve">Dividend Per Share </w:t>
      </w:r>
      <w:r w:rsidRPr="00FA043B">
        <w:rPr>
          <w:sz w:val="24"/>
          <w:szCs w:val="24"/>
        </w:rPr>
        <w:t>akan menarik investor untuk membeli saham perusahaan tersebut. Banyaknya saham yang dibeli maka harga saham perusahaan akan naik di pasar modal.</w:t>
      </w:r>
    </w:p>
    <w:p w:rsidR="00FA043B" w:rsidRPr="00FA043B" w:rsidRDefault="00FA043B" w:rsidP="00FA043B">
      <w:pPr>
        <w:spacing w:line="23" w:lineRule="atLeast"/>
        <w:jc w:val="both"/>
        <w:rPr>
          <w:sz w:val="24"/>
          <w:szCs w:val="24"/>
        </w:rPr>
      </w:pPr>
      <w:r w:rsidRPr="00FA043B">
        <w:rPr>
          <w:color w:val="FFFFFF" w:themeColor="background1"/>
          <w:sz w:val="24"/>
          <w:szCs w:val="24"/>
        </w:rPr>
        <w:t>……</w:t>
      </w:r>
      <w:r w:rsidRPr="00FA043B">
        <w:rPr>
          <w:sz w:val="24"/>
          <w:szCs w:val="24"/>
        </w:rPr>
        <w:t xml:space="preserve">Seperti halnya dengan </w:t>
      </w:r>
      <w:r w:rsidRPr="00FA043B">
        <w:rPr>
          <w:i/>
          <w:sz w:val="24"/>
          <w:szCs w:val="24"/>
        </w:rPr>
        <w:t>Dividend Per Share</w:t>
      </w:r>
      <w:r w:rsidRPr="00FA043B">
        <w:rPr>
          <w:sz w:val="24"/>
          <w:szCs w:val="24"/>
        </w:rPr>
        <w:t xml:space="preserve">, </w:t>
      </w:r>
      <w:r w:rsidRPr="00FA043B">
        <w:rPr>
          <w:i/>
          <w:iCs/>
          <w:sz w:val="24"/>
          <w:szCs w:val="24"/>
        </w:rPr>
        <w:t xml:space="preserve">Debt To Equity Ratio </w:t>
      </w:r>
      <w:r w:rsidRPr="00FA043B">
        <w:rPr>
          <w:sz w:val="24"/>
          <w:szCs w:val="24"/>
        </w:rPr>
        <w:t>merupakan rasio yang digunakan untuk menilai hutang dengan ekuitas. Rasio ini dihitung dengan cara membandingkan antara seluruh kewajiban, termasuk kewa</w:t>
      </w:r>
      <w:bookmarkStart w:id="0" w:name="_GoBack"/>
      <w:bookmarkEnd w:id="0"/>
      <w:r w:rsidRPr="00FA043B">
        <w:rPr>
          <w:sz w:val="24"/>
          <w:szCs w:val="24"/>
        </w:rPr>
        <w:t xml:space="preserve">jiban lancar dengan seluruh </w:t>
      </w:r>
      <w:r w:rsidRPr="00FA043B">
        <w:rPr>
          <w:sz w:val="24"/>
          <w:szCs w:val="24"/>
        </w:rPr>
        <w:lastRenderedPageBreak/>
        <w:t xml:space="preserve">modal.  Liembono (2013:177) menyatakan bahwa semakin tinggi rasio </w:t>
      </w:r>
      <w:r w:rsidRPr="00FA043B">
        <w:rPr>
          <w:i/>
          <w:iCs/>
          <w:sz w:val="24"/>
          <w:szCs w:val="24"/>
        </w:rPr>
        <w:t>Debt To Equity Ratio</w:t>
      </w:r>
      <w:r w:rsidRPr="00FA043B">
        <w:rPr>
          <w:sz w:val="24"/>
          <w:szCs w:val="24"/>
        </w:rPr>
        <w:t xml:space="preserve">, maka semakin rendah harga saham. Perusahaan dengan </w:t>
      </w:r>
      <w:r w:rsidRPr="00FA043B">
        <w:rPr>
          <w:i/>
          <w:iCs/>
          <w:sz w:val="24"/>
          <w:szCs w:val="24"/>
        </w:rPr>
        <w:t xml:space="preserve">Debt To Equity Ratio </w:t>
      </w:r>
      <w:r w:rsidRPr="00FA043B">
        <w:rPr>
          <w:sz w:val="24"/>
          <w:szCs w:val="24"/>
        </w:rPr>
        <w:t xml:space="preserve">yang tinggi menggambarkan perusahaan tersebut memilki utang yang tinggi sehingga investor memilih untuk tidak membeli saham tersebut. </w:t>
      </w:r>
    </w:p>
    <w:p w:rsidR="00FA043B" w:rsidRPr="00FA043B" w:rsidRDefault="00FA043B" w:rsidP="00FA043B">
      <w:pPr>
        <w:spacing w:line="23" w:lineRule="atLeast"/>
        <w:ind w:firstLine="720"/>
        <w:jc w:val="both"/>
        <w:rPr>
          <w:sz w:val="24"/>
          <w:szCs w:val="24"/>
        </w:rPr>
      </w:pPr>
      <w:r w:rsidRPr="00FA043B">
        <w:rPr>
          <w:sz w:val="24"/>
          <w:szCs w:val="24"/>
        </w:rPr>
        <w:t xml:space="preserve">Kasmir (2019:159) menyatakan bahwa </w:t>
      </w:r>
      <w:r w:rsidRPr="00FA043B">
        <w:rPr>
          <w:i/>
          <w:iCs/>
          <w:sz w:val="24"/>
          <w:szCs w:val="24"/>
        </w:rPr>
        <w:t>Debt To Equity Ratio</w:t>
      </w:r>
      <w:r w:rsidRPr="00FA043B">
        <w:rPr>
          <w:iCs/>
          <w:sz w:val="24"/>
          <w:szCs w:val="24"/>
        </w:rPr>
        <w:t xml:space="preserve"> adalah ukuran berapa banyak utang relatif terhadap total asset. </w:t>
      </w:r>
      <w:r w:rsidRPr="00FA043B">
        <w:rPr>
          <w:i/>
          <w:iCs/>
          <w:sz w:val="24"/>
          <w:szCs w:val="24"/>
        </w:rPr>
        <w:t>Debt To Equity Ratio</w:t>
      </w:r>
      <w:r w:rsidRPr="00FA043B">
        <w:rPr>
          <w:iCs/>
          <w:sz w:val="24"/>
          <w:szCs w:val="24"/>
        </w:rPr>
        <w:t xml:space="preserve"> yang rendah menunjukkan bahwa perusahaan dapat memenuhi kewajiban keuanganya, sehingga dapat mendorong kenaikan harga saham. Sebaliknya, kenaikan </w:t>
      </w:r>
      <w:r w:rsidRPr="00FA043B">
        <w:rPr>
          <w:i/>
          <w:iCs/>
          <w:sz w:val="24"/>
          <w:szCs w:val="24"/>
        </w:rPr>
        <w:t>Debt To Equity Ratio</w:t>
      </w:r>
      <w:r w:rsidRPr="00FA043B">
        <w:rPr>
          <w:iCs/>
          <w:sz w:val="24"/>
          <w:szCs w:val="24"/>
        </w:rPr>
        <w:t xml:space="preserve"> berdampak buruk bagi perusahaan karena membuat calon investor enggan membeli saham, yang pada giliranya menurunkan permintaan dan penawaran, mengakibatkan harga saham lebih rendah perusahaan yang berkualitas baik dengan sengaja akan memberikan sinyal pada pasar.</w:t>
      </w:r>
    </w:p>
    <w:p w:rsidR="00FA043B" w:rsidRPr="00FA043B" w:rsidRDefault="00FA043B" w:rsidP="00FA043B">
      <w:pPr>
        <w:spacing w:line="23" w:lineRule="atLeast"/>
        <w:jc w:val="both"/>
        <w:rPr>
          <w:iCs/>
          <w:sz w:val="24"/>
          <w:szCs w:val="24"/>
        </w:rPr>
      </w:pPr>
      <w:r w:rsidRPr="00FA043B">
        <w:rPr>
          <w:iCs/>
          <w:color w:val="FFFFFF" w:themeColor="background1"/>
          <w:sz w:val="24"/>
          <w:szCs w:val="24"/>
        </w:rPr>
        <w:t>……</w:t>
      </w:r>
      <w:r w:rsidRPr="00FA043B">
        <w:rPr>
          <w:iCs/>
          <w:sz w:val="24"/>
          <w:szCs w:val="24"/>
        </w:rPr>
        <w:t xml:space="preserve">.Berdasarkan uraian diatas dapat disimpulkan bahwa </w:t>
      </w:r>
      <w:r w:rsidRPr="00FA043B">
        <w:rPr>
          <w:i/>
          <w:iCs/>
          <w:sz w:val="24"/>
          <w:szCs w:val="24"/>
        </w:rPr>
        <w:t>Dividend Per Share</w:t>
      </w:r>
      <w:r w:rsidRPr="00FA043B">
        <w:rPr>
          <w:iCs/>
          <w:sz w:val="24"/>
          <w:szCs w:val="24"/>
        </w:rPr>
        <w:t xml:space="preserve"> dan </w:t>
      </w:r>
      <w:r w:rsidRPr="00FA043B">
        <w:rPr>
          <w:i/>
          <w:iCs/>
          <w:sz w:val="24"/>
          <w:szCs w:val="24"/>
        </w:rPr>
        <w:t>Debt To Equity Ratio</w:t>
      </w:r>
      <w:r w:rsidRPr="00FA043B">
        <w:rPr>
          <w:iCs/>
          <w:sz w:val="24"/>
          <w:szCs w:val="24"/>
        </w:rPr>
        <w:t xml:space="preserve"> memiliki hubungan dan berpengaruh secara simultan terhadap harga saham apabila </w:t>
      </w:r>
      <w:r w:rsidRPr="00FA043B">
        <w:rPr>
          <w:i/>
          <w:iCs/>
          <w:sz w:val="24"/>
          <w:szCs w:val="24"/>
        </w:rPr>
        <w:t>Dividend Per Share</w:t>
      </w:r>
      <w:r w:rsidRPr="00FA043B">
        <w:rPr>
          <w:iCs/>
          <w:sz w:val="24"/>
          <w:szCs w:val="24"/>
        </w:rPr>
        <w:t xml:space="preserve"> naik maka  harga  saham juga naik, dan apabila </w:t>
      </w:r>
      <w:r w:rsidRPr="00FA043B">
        <w:rPr>
          <w:i/>
          <w:iCs/>
          <w:sz w:val="24"/>
          <w:szCs w:val="24"/>
        </w:rPr>
        <w:t>Debt To Equity Ratio</w:t>
      </w:r>
      <w:r w:rsidRPr="00FA043B">
        <w:rPr>
          <w:iCs/>
          <w:sz w:val="24"/>
          <w:szCs w:val="24"/>
        </w:rPr>
        <w:t xml:space="preserve"> naik maka investor akan  enggan  membeli  saham perusahaan karena perusahaan belum tentu dapat memenuhi tanggung jawab keuanganya. Akibatnya, permintaan dan penawaran saham akan turun, sehingga harga saham tersebut turun.</w:t>
      </w:r>
    </w:p>
    <w:p w:rsidR="00FA043B" w:rsidRPr="00FA043B" w:rsidRDefault="00FA043B" w:rsidP="00FA043B">
      <w:pPr>
        <w:spacing w:line="23" w:lineRule="atLeast"/>
        <w:jc w:val="both"/>
        <w:rPr>
          <w:iCs/>
          <w:sz w:val="24"/>
          <w:szCs w:val="24"/>
        </w:rPr>
      </w:pPr>
    </w:p>
    <w:p w:rsidR="00FA043B" w:rsidRPr="00FA043B" w:rsidRDefault="00FA043B" w:rsidP="00FA043B">
      <w:pPr>
        <w:pStyle w:val="ListParagraph"/>
        <w:widowControl/>
        <w:numPr>
          <w:ilvl w:val="0"/>
          <w:numId w:val="9"/>
        </w:numPr>
        <w:autoSpaceDE/>
        <w:autoSpaceDN/>
        <w:spacing w:line="23" w:lineRule="atLeast"/>
        <w:ind w:left="357" w:hanging="357"/>
        <w:rPr>
          <w:b/>
          <w:sz w:val="24"/>
          <w:szCs w:val="24"/>
        </w:rPr>
      </w:pPr>
      <w:r w:rsidRPr="00FA043B">
        <w:rPr>
          <w:b/>
          <w:sz w:val="24"/>
          <w:szCs w:val="24"/>
        </w:rPr>
        <w:t xml:space="preserve">Hubungan antara </w:t>
      </w:r>
      <w:r w:rsidRPr="00FA043B">
        <w:rPr>
          <w:b/>
          <w:i/>
          <w:sz w:val="24"/>
          <w:szCs w:val="24"/>
        </w:rPr>
        <w:t xml:space="preserve">Dividend Per Share </w:t>
      </w:r>
      <w:r w:rsidRPr="00FA043B">
        <w:rPr>
          <w:b/>
          <w:sz w:val="24"/>
          <w:szCs w:val="24"/>
        </w:rPr>
        <w:t>dengan Harga Saham</w:t>
      </w:r>
    </w:p>
    <w:p w:rsidR="00FA043B" w:rsidRPr="00FA043B" w:rsidRDefault="00FA043B" w:rsidP="00FA043B">
      <w:pPr>
        <w:pStyle w:val="ListParagraph"/>
        <w:tabs>
          <w:tab w:val="left" w:pos="1170"/>
        </w:tabs>
        <w:spacing w:line="23" w:lineRule="atLeast"/>
        <w:ind w:left="0"/>
        <w:rPr>
          <w:sz w:val="24"/>
          <w:szCs w:val="24"/>
        </w:rPr>
      </w:pPr>
      <w:r w:rsidRPr="00FA043B">
        <w:rPr>
          <w:color w:val="FFFFFF" w:themeColor="background1"/>
          <w:sz w:val="24"/>
          <w:szCs w:val="24"/>
        </w:rPr>
        <w:t>;;;;;;;;</w:t>
      </w:r>
      <w:r w:rsidRPr="00FA043B">
        <w:rPr>
          <w:sz w:val="24"/>
          <w:szCs w:val="24"/>
        </w:rPr>
        <w:t xml:space="preserve">Perbedaan pajak dari Litzenberger dan Ramaswamy menyatakan bahwa kenaikan dividen sering diikuti dengan kenaikan harga saham. Terdapat bukti empiris bahwa jika ada kenaikan dividen. Apabila terjadi kenaikan pada </w:t>
      </w:r>
      <w:r w:rsidRPr="00FA043B">
        <w:rPr>
          <w:i/>
          <w:sz w:val="24"/>
          <w:szCs w:val="24"/>
        </w:rPr>
        <w:t>Dividend Per Share</w:t>
      </w:r>
      <w:r w:rsidRPr="00FA043B">
        <w:rPr>
          <w:sz w:val="24"/>
          <w:szCs w:val="24"/>
        </w:rPr>
        <w:t xml:space="preserve"> maka akan menaikkan harga saham pada pasar modal, apabila angka </w:t>
      </w:r>
      <w:r w:rsidRPr="00FA043B">
        <w:rPr>
          <w:i/>
          <w:sz w:val="24"/>
          <w:szCs w:val="24"/>
        </w:rPr>
        <w:t>Dividend Per Share</w:t>
      </w:r>
      <w:r w:rsidRPr="00FA043B">
        <w:rPr>
          <w:sz w:val="24"/>
          <w:szCs w:val="24"/>
        </w:rPr>
        <w:t xml:space="preserve"> tetap maka harga saham turun. Sebaliknya, penurunan dividen pada umumnya menyebabkan harga saham menurun.</w:t>
      </w:r>
    </w:p>
    <w:p w:rsidR="00FA043B" w:rsidRPr="00FA043B" w:rsidRDefault="00FA043B" w:rsidP="00FA043B">
      <w:pPr>
        <w:pStyle w:val="ListParagraph"/>
        <w:tabs>
          <w:tab w:val="left" w:pos="1170"/>
        </w:tabs>
        <w:spacing w:line="23" w:lineRule="atLeast"/>
        <w:ind w:left="0"/>
        <w:rPr>
          <w:sz w:val="24"/>
          <w:szCs w:val="24"/>
        </w:rPr>
      </w:pPr>
      <w:r w:rsidRPr="00FA043B">
        <w:rPr>
          <w:color w:val="FFFFFF" w:themeColor="background1"/>
          <w:sz w:val="24"/>
          <w:szCs w:val="24"/>
        </w:rPr>
        <w:t xml:space="preserve">;;;;;;; </w:t>
      </w:r>
      <w:r w:rsidRPr="00FA043B">
        <w:rPr>
          <w:sz w:val="24"/>
          <w:szCs w:val="24"/>
        </w:rPr>
        <w:t xml:space="preserve">Fenomena ini dapat dianggap bahwa bukti para investor lebih menyukai dividen dari pada </w:t>
      </w:r>
      <w:r w:rsidRPr="00FA043B">
        <w:rPr>
          <w:i/>
          <w:sz w:val="24"/>
          <w:szCs w:val="24"/>
        </w:rPr>
        <w:t>capital gains.</w:t>
      </w:r>
      <w:r w:rsidRPr="00FA043B">
        <w:rPr>
          <w:sz w:val="24"/>
          <w:szCs w:val="24"/>
        </w:rPr>
        <w:t xml:space="preserve"> Kelompok pemegang saham yang membutuhkan penghasilan pada saat ini lebih menyukai suatu </w:t>
      </w:r>
      <w:r w:rsidRPr="00FA043B">
        <w:rPr>
          <w:i/>
          <w:sz w:val="24"/>
          <w:szCs w:val="24"/>
        </w:rPr>
        <w:t>Dividend Payout Ratio</w:t>
      </w:r>
      <w:r w:rsidRPr="00FA043B">
        <w:rPr>
          <w:sz w:val="24"/>
          <w:szCs w:val="24"/>
        </w:rPr>
        <w:t xml:space="preserve"> yang tinggi. Sebaliknya, kelompok pemegang saham yang tidak begitu membutuhkan uang saat ini lebih senang jika perusahaan menahan sebagian besar laba bersih perusahaan, dividen yang tinggi akan meningkatkan harga saham perusahaan karena memiliki prospek baik.</w:t>
      </w:r>
    </w:p>
    <w:p w:rsidR="00FA043B" w:rsidRPr="00FA043B" w:rsidRDefault="00FA043B" w:rsidP="00FA043B">
      <w:pPr>
        <w:pStyle w:val="ListParagraph"/>
        <w:tabs>
          <w:tab w:val="left" w:pos="1170"/>
        </w:tabs>
        <w:spacing w:line="23" w:lineRule="atLeast"/>
        <w:ind w:left="0"/>
        <w:rPr>
          <w:sz w:val="24"/>
          <w:szCs w:val="24"/>
        </w:rPr>
      </w:pPr>
      <w:r w:rsidRPr="00FA043B">
        <w:rPr>
          <w:color w:val="FFFFFF" w:themeColor="background1"/>
          <w:sz w:val="24"/>
          <w:szCs w:val="24"/>
        </w:rPr>
        <w:t>;;;;;;;</w:t>
      </w:r>
      <w:r w:rsidRPr="00FA043B">
        <w:rPr>
          <w:sz w:val="24"/>
          <w:szCs w:val="24"/>
        </w:rPr>
        <w:t xml:space="preserve">Kasmir (2017:24) mengatakan bahwa dividen merupakan wujud atas pembagian laba per saham setiap investor, kemampuan membayar dividen kepada investor dapat digambarkan dengan </w:t>
      </w:r>
      <w:r w:rsidRPr="00FA043B">
        <w:rPr>
          <w:i/>
          <w:sz w:val="24"/>
          <w:szCs w:val="24"/>
        </w:rPr>
        <w:t>Dividend Per Share</w:t>
      </w:r>
      <w:r w:rsidRPr="00FA043B">
        <w:rPr>
          <w:sz w:val="24"/>
          <w:szCs w:val="24"/>
        </w:rPr>
        <w:t>.</w:t>
      </w:r>
      <w:r w:rsidRPr="00FA043B">
        <w:rPr>
          <w:color w:val="FFFFFF" w:themeColor="background1"/>
          <w:sz w:val="24"/>
          <w:szCs w:val="24"/>
        </w:rPr>
        <w:t>..</w:t>
      </w:r>
      <w:r w:rsidRPr="00FA043B">
        <w:rPr>
          <w:sz w:val="24"/>
          <w:szCs w:val="24"/>
        </w:rPr>
        <w:t xml:space="preserve">Informasi mengenai </w:t>
      </w:r>
      <w:r w:rsidRPr="00FA043B">
        <w:rPr>
          <w:i/>
          <w:sz w:val="24"/>
          <w:szCs w:val="24"/>
        </w:rPr>
        <w:t>Dividend Per Share</w:t>
      </w:r>
      <w:r w:rsidRPr="00FA043B">
        <w:rPr>
          <w:sz w:val="24"/>
          <w:szCs w:val="24"/>
        </w:rPr>
        <w:t xml:space="preserve"> sangat diperlukan untuk mengetahui beberapa besar keuntungan setiap lembar saham yang akan diterima oleh para pemegang saham.</w:t>
      </w:r>
      <w:r w:rsidRPr="00FA043B">
        <w:rPr>
          <w:color w:val="FFFFFF" w:themeColor="background1"/>
          <w:sz w:val="24"/>
          <w:szCs w:val="24"/>
        </w:rPr>
        <w:t>..</w:t>
      </w:r>
      <w:r w:rsidRPr="00FA043B">
        <w:rPr>
          <w:sz w:val="24"/>
          <w:szCs w:val="24"/>
        </w:rPr>
        <w:t xml:space="preserve">Naiknya </w:t>
      </w:r>
      <w:r w:rsidRPr="00FA043B">
        <w:rPr>
          <w:i/>
          <w:sz w:val="24"/>
          <w:szCs w:val="24"/>
        </w:rPr>
        <w:t>Dividend Per Share</w:t>
      </w:r>
      <w:r w:rsidRPr="00FA043B">
        <w:rPr>
          <w:sz w:val="24"/>
          <w:szCs w:val="24"/>
        </w:rPr>
        <w:t xml:space="preserve"> akan menarik investor untuk membeli saham perusahaan tersebut. Banyaknya saham yang dibeli maka harga saham perusahaan akan naik dipasar modal. </w:t>
      </w:r>
      <w:r w:rsidRPr="00FA043B">
        <w:rPr>
          <w:i/>
          <w:sz w:val="24"/>
          <w:szCs w:val="24"/>
        </w:rPr>
        <w:t>Dividend Per Share</w:t>
      </w:r>
      <w:r w:rsidRPr="00FA043B">
        <w:rPr>
          <w:sz w:val="24"/>
          <w:szCs w:val="24"/>
        </w:rPr>
        <w:t xml:space="preserve"> bagian keuntungan yang diberikan kepada para pemegang saham yang jumlahnya sebanding dengan jumlah saham yang dimiliki. </w:t>
      </w:r>
      <w:r w:rsidRPr="00FA043B">
        <w:rPr>
          <w:i/>
          <w:sz w:val="24"/>
          <w:szCs w:val="24"/>
        </w:rPr>
        <w:t>Dividend Per Share</w:t>
      </w:r>
      <w:r w:rsidRPr="00FA043B">
        <w:rPr>
          <w:sz w:val="24"/>
          <w:szCs w:val="24"/>
        </w:rPr>
        <w:t xml:space="preserve"> merupakan pembagian laba yang dibagikan kepada semua pemegang saham secara proporsional sesuai dengan jumlah lembar saham yang dimilikinya. </w:t>
      </w:r>
    </w:p>
    <w:p w:rsidR="00FA043B" w:rsidRPr="00FA043B" w:rsidRDefault="00FA043B" w:rsidP="00FA043B">
      <w:pPr>
        <w:pStyle w:val="ListParagraph"/>
        <w:tabs>
          <w:tab w:val="left" w:pos="1170"/>
        </w:tabs>
        <w:spacing w:line="23" w:lineRule="atLeast"/>
        <w:ind w:left="0"/>
        <w:rPr>
          <w:sz w:val="24"/>
          <w:szCs w:val="24"/>
        </w:rPr>
      </w:pPr>
      <w:r w:rsidRPr="00FA043B">
        <w:rPr>
          <w:color w:val="FFFFFF" w:themeColor="background1"/>
          <w:sz w:val="24"/>
          <w:szCs w:val="24"/>
        </w:rPr>
        <w:t>;;;;;;;</w:t>
      </w:r>
      <w:r w:rsidRPr="00FA043B">
        <w:rPr>
          <w:sz w:val="24"/>
          <w:szCs w:val="24"/>
        </w:rPr>
        <w:t xml:space="preserve">Berdasarkan pendapat para ahli dapat disimpulkan bahwa jika semakin tinggi </w:t>
      </w:r>
      <w:r w:rsidRPr="00FA043B">
        <w:rPr>
          <w:i/>
          <w:sz w:val="24"/>
          <w:szCs w:val="24"/>
        </w:rPr>
        <w:t>Dividend Per Share</w:t>
      </w:r>
      <w:r w:rsidRPr="00FA043B">
        <w:rPr>
          <w:sz w:val="24"/>
          <w:szCs w:val="24"/>
        </w:rPr>
        <w:t xml:space="preserve"> yang dibagikan dapat memberikan efek terhadap harga saham, maka </w:t>
      </w:r>
      <w:r w:rsidRPr="00FA043B">
        <w:rPr>
          <w:i/>
          <w:sz w:val="24"/>
          <w:szCs w:val="24"/>
        </w:rPr>
        <w:t>Dividend Per Share</w:t>
      </w:r>
      <w:r w:rsidRPr="00FA043B">
        <w:rPr>
          <w:sz w:val="24"/>
          <w:szCs w:val="24"/>
        </w:rPr>
        <w:t xml:space="preserve"> memiliki hubungan yang positif terhadap harga saham. </w:t>
      </w:r>
    </w:p>
    <w:p w:rsidR="00FA043B" w:rsidRPr="00FA043B" w:rsidRDefault="00FA043B" w:rsidP="00FA043B">
      <w:pPr>
        <w:pStyle w:val="ListParagraph"/>
        <w:tabs>
          <w:tab w:val="left" w:pos="1170"/>
        </w:tabs>
        <w:spacing w:line="23" w:lineRule="atLeast"/>
        <w:ind w:left="0"/>
        <w:rPr>
          <w:sz w:val="24"/>
          <w:szCs w:val="24"/>
        </w:rPr>
      </w:pPr>
      <w:r w:rsidRPr="00FA043B">
        <w:rPr>
          <w:sz w:val="24"/>
          <w:szCs w:val="24"/>
        </w:rPr>
        <w:t xml:space="preserve"> </w:t>
      </w:r>
    </w:p>
    <w:p w:rsidR="00FA043B" w:rsidRPr="00FA043B" w:rsidRDefault="00FA043B" w:rsidP="00FA043B">
      <w:pPr>
        <w:pStyle w:val="ListParagraph"/>
        <w:widowControl/>
        <w:numPr>
          <w:ilvl w:val="0"/>
          <w:numId w:val="9"/>
        </w:numPr>
        <w:tabs>
          <w:tab w:val="left" w:pos="1170"/>
        </w:tabs>
        <w:autoSpaceDE/>
        <w:autoSpaceDN/>
        <w:spacing w:line="23" w:lineRule="atLeast"/>
        <w:ind w:left="709"/>
        <w:rPr>
          <w:sz w:val="24"/>
          <w:szCs w:val="24"/>
        </w:rPr>
      </w:pPr>
      <w:r w:rsidRPr="00FA043B">
        <w:rPr>
          <w:b/>
          <w:sz w:val="24"/>
          <w:szCs w:val="24"/>
        </w:rPr>
        <w:t xml:space="preserve">Hubungan Antara </w:t>
      </w:r>
      <w:r w:rsidRPr="00FA043B">
        <w:rPr>
          <w:b/>
          <w:i/>
          <w:sz w:val="24"/>
          <w:szCs w:val="24"/>
        </w:rPr>
        <w:t>Debt To Equity Ratio</w:t>
      </w:r>
      <w:r w:rsidRPr="00FA043B">
        <w:rPr>
          <w:b/>
          <w:sz w:val="24"/>
          <w:szCs w:val="24"/>
        </w:rPr>
        <w:t xml:space="preserve"> Dengan Harga Saham</w:t>
      </w:r>
    </w:p>
    <w:p w:rsidR="00FA043B" w:rsidRPr="00FA043B" w:rsidRDefault="00FA043B" w:rsidP="00FA043B">
      <w:pPr>
        <w:pStyle w:val="ListParagraph"/>
        <w:tabs>
          <w:tab w:val="left" w:pos="1170"/>
        </w:tabs>
        <w:spacing w:line="23" w:lineRule="atLeast"/>
        <w:ind w:left="0"/>
        <w:rPr>
          <w:sz w:val="24"/>
          <w:szCs w:val="24"/>
        </w:rPr>
      </w:pPr>
      <w:r w:rsidRPr="00FA043B">
        <w:rPr>
          <w:i/>
          <w:color w:val="FFFFFF" w:themeColor="background1"/>
          <w:sz w:val="24"/>
          <w:szCs w:val="24"/>
        </w:rPr>
        <w:t>…….</w:t>
      </w:r>
      <w:r w:rsidRPr="00FA043B">
        <w:rPr>
          <w:i/>
          <w:sz w:val="24"/>
          <w:szCs w:val="24"/>
        </w:rPr>
        <w:t xml:space="preserve">Debt To Equity Ratio </w:t>
      </w:r>
      <w:r w:rsidRPr="00FA043B">
        <w:rPr>
          <w:sz w:val="24"/>
          <w:szCs w:val="24"/>
        </w:rPr>
        <w:t>yang tinggi menandakan bahwa perusahaan tersebut memiliki jumlah hutang yang tinggi juga, hal ini menandakan bahwa ketergantungan perusahaan dalam pembiayaan ekuitas menggunakan hutang juga tinggi.</w:t>
      </w:r>
      <w:r w:rsidRPr="00FA043B">
        <w:rPr>
          <w:color w:val="FFFFFF" w:themeColor="background1"/>
          <w:sz w:val="24"/>
          <w:szCs w:val="24"/>
        </w:rPr>
        <w:t>…</w:t>
      </w:r>
      <w:r w:rsidRPr="00FA043B">
        <w:rPr>
          <w:sz w:val="24"/>
          <w:szCs w:val="24"/>
        </w:rPr>
        <w:t xml:space="preserve">Hal ini akan menyebabkan investor cenderung menghindari saham tersebut, semakin rendah permintaan dari pasar maka harga saham juga akan menurun dan semakin tinggi permintaan dari pasar maka harga saham juga tinggi. </w:t>
      </w:r>
    </w:p>
    <w:p w:rsidR="00FA043B" w:rsidRPr="00FA043B" w:rsidRDefault="00FA043B" w:rsidP="00FA043B">
      <w:pPr>
        <w:pStyle w:val="ListParagraph"/>
        <w:tabs>
          <w:tab w:val="left" w:pos="1170"/>
        </w:tabs>
        <w:spacing w:line="23" w:lineRule="atLeast"/>
        <w:ind w:left="0"/>
        <w:rPr>
          <w:sz w:val="24"/>
          <w:szCs w:val="24"/>
        </w:rPr>
      </w:pPr>
      <w:r w:rsidRPr="00FA043B">
        <w:rPr>
          <w:color w:val="FFFFFF" w:themeColor="background1"/>
          <w:sz w:val="24"/>
          <w:szCs w:val="24"/>
        </w:rPr>
        <w:t>…….</w:t>
      </w:r>
      <w:r w:rsidRPr="00FA043B">
        <w:rPr>
          <w:sz w:val="24"/>
          <w:szCs w:val="24"/>
        </w:rPr>
        <w:t xml:space="preserve">Kasmir (2017:158) menjelaskan bahwa semakin besar nilai </w:t>
      </w:r>
      <w:r w:rsidRPr="00FA043B">
        <w:rPr>
          <w:i/>
          <w:sz w:val="24"/>
          <w:szCs w:val="24"/>
        </w:rPr>
        <w:t>Debt To Equity Ratio</w:t>
      </w:r>
      <w:r w:rsidRPr="00FA043B">
        <w:rPr>
          <w:sz w:val="24"/>
          <w:szCs w:val="24"/>
        </w:rPr>
        <w:t xml:space="preserve">, maka risiko gagal bayar yang dihadapi oleh perusahaan semakin besar. Selain itu, semakin tinggi nilai </w:t>
      </w:r>
      <w:r w:rsidRPr="00FA043B">
        <w:rPr>
          <w:i/>
          <w:sz w:val="24"/>
          <w:szCs w:val="24"/>
        </w:rPr>
        <w:t>Debt To Equity Ratio</w:t>
      </w:r>
      <w:r w:rsidRPr="00FA043B">
        <w:rPr>
          <w:sz w:val="24"/>
          <w:szCs w:val="24"/>
        </w:rPr>
        <w:t xml:space="preserve"> perusahaan juga harus membayar biaya bunga yang tinggi. </w:t>
      </w:r>
      <w:r w:rsidRPr="00FA043B">
        <w:rPr>
          <w:sz w:val="24"/>
          <w:szCs w:val="24"/>
        </w:rPr>
        <w:lastRenderedPageBreak/>
        <w:t>Apabila hal tersebut terjadi, maka dapat mengakibatkan penurunan pembayaran deviden karena dianggap sebagai informasi yang buruk oleh investor, sehingga permintaan terhadap saham perusahaan akan mengalami penurunan yang berakibat pada penurunan harga saham. Semakin besar rasio ini, akan semakin tidak menguntungkan karena akan semakin besar risiko yang ditanggung atas kegagalan yang mungkin terjadi diperusahaan.</w:t>
      </w:r>
      <w:r w:rsidRPr="00FA043B">
        <w:rPr>
          <w:color w:val="FFFFFF" w:themeColor="background1"/>
          <w:sz w:val="24"/>
          <w:szCs w:val="24"/>
        </w:rPr>
        <w:t>’</w:t>
      </w:r>
      <w:r w:rsidRPr="00FA043B">
        <w:rPr>
          <w:sz w:val="24"/>
          <w:szCs w:val="24"/>
        </w:rPr>
        <w:t xml:space="preserve"> </w:t>
      </w:r>
      <w:r w:rsidRPr="00FA043B">
        <w:rPr>
          <w:color w:val="FFFFFF" w:themeColor="background1"/>
          <w:sz w:val="24"/>
          <w:szCs w:val="24"/>
        </w:rPr>
        <w:t>…….</w:t>
      </w:r>
      <w:r w:rsidRPr="00FA043B">
        <w:rPr>
          <w:i/>
          <w:iCs/>
          <w:sz w:val="24"/>
          <w:szCs w:val="24"/>
        </w:rPr>
        <w:t>Signaling Theory</w:t>
      </w:r>
      <w:r w:rsidRPr="00FA043B">
        <w:rPr>
          <w:sz w:val="24"/>
          <w:szCs w:val="24"/>
        </w:rPr>
        <w:t xml:space="preserve"> mengatakan bahwa  </w:t>
      </w:r>
      <w:r w:rsidRPr="00FA043B">
        <w:rPr>
          <w:i/>
          <w:sz w:val="24"/>
          <w:szCs w:val="24"/>
        </w:rPr>
        <w:t>Debt To Equity  Ratio</w:t>
      </w:r>
      <w:r w:rsidRPr="00FA043B">
        <w:rPr>
          <w:sz w:val="24"/>
          <w:szCs w:val="24"/>
        </w:rPr>
        <w:t xml:space="preserve">  adalah  sebuah  informasi yang diberikan oleh perusahaan kepada investor, apabila  </w:t>
      </w:r>
      <w:r w:rsidRPr="00FA043B">
        <w:rPr>
          <w:i/>
          <w:sz w:val="24"/>
          <w:szCs w:val="24"/>
        </w:rPr>
        <w:t>Debt To Equity Ratio</w:t>
      </w:r>
      <w:r w:rsidRPr="00FA043B">
        <w:rPr>
          <w:sz w:val="24"/>
          <w:szCs w:val="24"/>
        </w:rPr>
        <w:t xml:space="preserve"> semakin tinggi maka investor akan menangkap ini sebagai sinyal buruk, dikarenakan  perusahaan memiliki hutang yang tinggi sehingga para investor menilai perusahaan ini kurang layak dibeli, karena dengan hutang yang tinggi resiko kebangkrutan juga tinggi. </w:t>
      </w:r>
    </w:p>
    <w:p w:rsidR="00FA043B" w:rsidRPr="00FA043B" w:rsidRDefault="00FA043B" w:rsidP="00FA043B">
      <w:pPr>
        <w:spacing w:line="23" w:lineRule="atLeast"/>
        <w:jc w:val="both"/>
        <w:rPr>
          <w:sz w:val="24"/>
        </w:rPr>
      </w:pPr>
      <w:r w:rsidRPr="00FA043B">
        <w:rPr>
          <w:color w:val="FFFFFF" w:themeColor="background1"/>
          <w:sz w:val="24"/>
          <w:szCs w:val="24"/>
        </w:rPr>
        <w:t>…….</w:t>
      </w:r>
      <w:r w:rsidRPr="00FA043B">
        <w:rPr>
          <w:sz w:val="24"/>
          <w:szCs w:val="24"/>
        </w:rPr>
        <w:t xml:space="preserve">Hermanto dan Agung (2019:180) menyatakan bahwa  </w:t>
      </w:r>
      <w:r w:rsidRPr="00FA043B">
        <w:rPr>
          <w:i/>
          <w:sz w:val="24"/>
          <w:szCs w:val="24"/>
        </w:rPr>
        <w:t>Debt To Equity Ratio</w:t>
      </w:r>
      <w:r w:rsidRPr="00FA043B">
        <w:rPr>
          <w:sz w:val="24"/>
          <w:szCs w:val="24"/>
        </w:rPr>
        <w:t xml:space="preserve"> merupakan rasio yang mengukur persentase total dana yang disediakan oleh kreditor berupa hutang dibandingkan dengan modal yang dimiliki perusahaan. Tingkat  </w:t>
      </w:r>
      <w:r w:rsidRPr="00FA043B">
        <w:rPr>
          <w:i/>
          <w:sz w:val="24"/>
          <w:szCs w:val="24"/>
        </w:rPr>
        <w:t>Debt To Equity Ratio</w:t>
      </w:r>
      <w:r w:rsidRPr="00FA043B">
        <w:rPr>
          <w:sz w:val="24"/>
          <w:szCs w:val="24"/>
        </w:rPr>
        <w:t xml:space="preserve">  yang aman biasanya kurang dari 50%, semakin kecil </w:t>
      </w:r>
      <w:r w:rsidRPr="00FA043B">
        <w:rPr>
          <w:i/>
          <w:sz w:val="24"/>
          <w:szCs w:val="24"/>
        </w:rPr>
        <w:t>Debt To Equity Ratio</w:t>
      </w:r>
      <w:r w:rsidRPr="00FA043B">
        <w:rPr>
          <w:sz w:val="24"/>
          <w:szCs w:val="24"/>
        </w:rPr>
        <w:t xml:space="preserve"> semakin baik bagi perusahaan, maka sebagian struktur modal perusahaan terdiri dari modal sendiri sehingga memiliki resiko rendah.</w:t>
      </w:r>
    </w:p>
    <w:p w:rsidR="00D57F69" w:rsidRDefault="0003637F" w:rsidP="00FA043B">
      <w:pPr>
        <w:pStyle w:val="Heading1"/>
        <w:spacing w:before="296" w:line="23" w:lineRule="atLeast"/>
      </w:pPr>
      <w:r>
        <w:t>METODE</w:t>
      </w:r>
      <w:r>
        <w:rPr>
          <w:spacing w:val="1"/>
        </w:rPr>
        <w:t xml:space="preserve"> </w:t>
      </w:r>
      <w:r>
        <w:rPr>
          <w:spacing w:val="-2"/>
        </w:rPr>
        <w:t>PENELITIAN</w:t>
      </w:r>
    </w:p>
    <w:p w:rsidR="00C03F13" w:rsidRPr="00C03F13" w:rsidRDefault="0003637F" w:rsidP="00FA043B">
      <w:pPr>
        <w:pStyle w:val="BodyText"/>
        <w:spacing w:line="23" w:lineRule="atLeast"/>
        <w:ind w:firstLine="720"/>
        <w:jc w:val="both"/>
      </w:pPr>
      <w:r>
        <w:t>Jenis data yang digunakan dalam</w:t>
      </w:r>
      <w:r>
        <w:rPr>
          <w:spacing w:val="40"/>
        </w:rPr>
        <w:t xml:space="preserve"> </w:t>
      </w:r>
      <w:r>
        <w:t>penelitian ini adalah data kuantitatif yaitu laporan keuangan perusahaan sedangkan sumber data yang digunakan adalah data sekunder</w:t>
      </w:r>
      <w:r>
        <w:rPr>
          <w:spacing w:val="-1"/>
        </w:rPr>
        <w:t xml:space="preserve"> </w:t>
      </w:r>
      <w:r>
        <w:t>yaitu</w:t>
      </w:r>
      <w:r>
        <w:rPr>
          <w:spacing w:val="-4"/>
        </w:rPr>
        <w:t xml:space="preserve"> </w:t>
      </w:r>
      <w:r>
        <w:t>data</w:t>
      </w:r>
      <w:r>
        <w:rPr>
          <w:spacing w:val="-3"/>
        </w:rPr>
        <w:t xml:space="preserve"> </w:t>
      </w:r>
      <w:r>
        <w:t>yang</w:t>
      </w:r>
      <w:r>
        <w:rPr>
          <w:spacing w:val="-8"/>
        </w:rPr>
        <w:t xml:space="preserve"> </w:t>
      </w:r>
      <w:r>
        <w:t>bersumber</w:t>
      </w:r>
      <w:r>
        <w:rPr>
          <w:spacing w:val="-4"/>
        </w:rPr>
        <w:t xml:space="preserve"> </w:t>
      </w:r>
      <w:r>
        <w:t>dari</w:t>
      </w:r>
      <w:r>
        <w:rPr>
          <w:spacing w:val="-3"/>
        </w:rPr>
        <w:t xml:space="preserve"> </w:t>
      </w:r>
      <w:r>
        <w:t>pustaka.</w:t>
      </w:r>
      <w:r>
        <w:rPr>
          <w:spacing w:val="-4"/>
        </w:rPr>
        <w:t xml:space="preserve"> </w:t>
      </w:r>
      <w:r>
        <w:t>Data</w:t>
      </w:r>
      <w:r>
        <w:rPr>
          <w:spacing w:val="-3"/>
        </w:rPr>
        <w:t xml:space="preserve"> </w:t>
      </w:r>
      <w:r>
        <w:t>keuangan</w:t>
      </w:r>
      <w:r>
        <w:rPr>
          <w:spacing w:val="-4"/>
        </w:rPr>
        <w:t xml:space="preserve"> </w:t>
      </w:r>
      <w:r>
        <w:t>yang</w:t>
      </w:r>
      <w:r>
        <w:rPr>
          <w:spacing w:val="-8"/>
        </w:rPr>
        <w:t xml:space="preserve"> </w:t>
      </w:r>
      <w:r>
        <w:t>digunakan</w:t>
      </w:r>
      <w:r>
        <w:rPr>
          <w:spacing w:val="-4"/>
        </w:rPr>
        <w:t xml:space="preserve"> </w:t>
      </w:r>
      <w:r>
        <w:t xml:space="preserve">dalam penelitian ini yaitu laporan </w:t>
      </w:r>
      <w:r w:rsidR="00796457">
        <w:t>keuangan PT. Harum Energy</w:t>
      </w:r>
      <w:r>
        <w:t>, Tbk. selama periode</w:t>
      </w:r>
      <w:r w:rsidR="00C03F13">
        <w:t xml:space="preserve"> </w:t>
      </w:r>
      <w:r w:rsidR="00796457">
        <w:t>2018-2022</w:t>
      </w:r>
      <w:r>
        <w:t>.</w:t>
      </w:r>
      <w:r>
        <w:rPr>
          <w:spacing w:val="-1"/>
        </w:rPr>
        <w:t xml:space="preserve"> </w:t>
      </w:r>
    </w:p>
    <w:p w:rsidR="00C03F13" w:rsidRDefault="00C03F13" w:rsidP="00FA043B">
      <w:pPr>
        <w:pStyle w:val="BodyText"/>
        <w:spacing w:line="23" w:lineRule="atLeast"/>
        <w:jc w:val="both"/>
      </w:pPr>
    </w:p>
    <w:p w:rsidR="00C03F13" w:rsidRDefault="00C03F13" w:rsidP="00FA043B">
      <w:pPr>
        <w:pStyle w:val="BodyText"/>
        <w:spacing w:line="23" w:lineRule="atLeast"/>
        <w:jc w:val="both"/>
      </w:pPr>
    </w:p>
    <w:p w:rsidR="0092449A" w:rsidRDefault="0092449A" w:rsidP="00FA043B">
      <w:pPr>
        <w:pStyle w:val="BodyText"/>
        <w:spacing w:line="23" w:lineRule="atLeast"/>
        <w:jc w:val="both"/>
      </w:pPr>
    </w:p>
    <w:p w:rsidR="00C03F13" w:rsidRDefault="00C03F13" w:rsidP="00FA043B">
      <w:pPr>
        <w:pStyle w:val="BodyText"/>
        <w:spacing w:line="23" w:lineRule="atLeast"/>
        <w:jc w:val="both"/>
      </w:pPr>
    </w:p>
    <w:p w:rsidR="00C03F13" w:rsidRDefault="0003637F" w:rsidP="00FA043B">
      <w:pPr>
        <w:pStyle w:val="BodyText"/>
        <w:spacing w:line="23" w:lineRule="atLeast"/>
        <w:ind w:firstLine="620"/>
        <w:jc w:val="both"/>
      </w:pPr>
      <w:r>
        <w:t>Metode analisis</w:t>
      </w:r>
      <w:r>
        <w:rPr>
          <w:spacing w:val="-3"/>
        </w:rPr>
        <w:t xml:space="preserve"> </w:t>
      </w:r>
      <w:r>
        <w:t>yang</w:t>
      </w:r>
      <w:r>
        <w:rPr>
          <w:spacing w:val="-6"/>
        </w:rPr>
        <w:t xml:space="preserve"> </w:t>
      </w:r>
      <w:r>
        <w:t>digunakan yaitu</w:t>
      </w:r>
      <w:r>
        <w:rPr>
          <w:spacing w:val="-1"/>
        </w:rPr>
        <w:t xml:space="preserve"> </w:t>
      </w:r>
      <w:r>
        <w:t>regresi</w:t>
      </w:r>
      <w:r>
        <w:rPr>
          <w:spacing w:val="-1"/>
        </w:rPr>
        <w:t xml:space="preserve"> </w:t>
      </w:r>
      <w:r>
        <w:t>linear</w:t>
      </w:r>
      <w:r>
        <w:rPr>
          <w:spacing w:val="-1"/>
        </w:rPr>
        <w:t xml:space="preserve"> </w:t>
      </w:r>
      <w:r>
        <w:t>berganda yang</w:t>
      </w:r>
      <w:r>
        <w:rPr>
          <w:spacing w:val="-6"/>
        </w:rPr>
        <w:t xml:space="preserve"> </w:t>
      </w:r>
      <w:r>
        <w:t>meliputi uji</w:t>
      </w:r>
      <w:r>
        <w:rPr>
          <w:spacing w:val="-2"/>
        </w:rPr>
        <w:t xml:space="preserve"> </w:t>
      </w:r>
      <w:r>
        <w:t>koefisien</w:t>
      </w:r>
      <w:r>
        <w:rPr>
          <w:spacing w:val="-2"/>
        </w:rPr>
        <w:t xml:space="preserve"> </w:t>
      </w:r>
      <w:r>
        <w:t>determinasi</w:t>
      </w:r>
      <w:r>
        <w:rPr>
          <w:spacing w:val="-2"/>
        </w:rPr>
        <w:t xml:space="preserve"> </w:t>
      </w:r>
      <w:r>
        <w:t>(R</w:t>
      </w:r>
      <w:r>
        <w:rPr>
          <w:vertAlign w:val="superscript"/>
        </w:rPr>
        <w:t>2</w:t>
      </w:r>
      <w:r>
        <w:t>),</w:t>
      </w:r>
      <w:r>
        <w:rPr>
          <w:spacing w:val="-2"/>
        </w:rPr>
        <w:t xml:space="preserve"> </w:t>
      </w:r>
      <w:r>
        <w:t>uji</w:t>
      </w:r>
      <w:r>
        <w:rPr>
          <w:spacing w:val="-2"/>
        </w:rPr>
        <w:t xml:space="preserve"> </w:t>
      </w:r>
      <w:r>
        <w:t>korelasi</w:t>
      </w:r>
      <w:r>
        <w:rPr>
          <w:spacing w:val="-6"/>
        </w:rPr>
        <w:t xml:space="preserve"> </w:t>
      </w:r>
      <w:r>
        <w:t>(r), uji</w:t>
      </w:r>
      <w:r>
        <w:rPr>
          <w:spacing w:val="-2"/>
        </w:rPr>
        <w:t xml:space="preserve"> </w:t>
      </w:r>
      <w:r>
        <w:t>t</w:t>
      </w:r>
      <w:r>
        <w:rPr>
          <w:spacing w:val="-2"/>
        </w:rPr>
        <w:t xml:space="preserve"> </w:t>
      </w:r>
      <w:r>
        <w:t>(parsial),</w:t>
      </w:r>
      <w:r>
        <w:rPr>
          <w:spacing w:val="-2"/>
        </w:rPr>
        <w:t xml:space="preserve"> </w:t>
      </w:r>
      <w:r>
        <w:t>dan uji</w:t>
      </w:r>
      <w:r>
        <w:rPr>
          <w:spacing w:val="-2"/>
        </w:rPr>
        <w:t xml:space="preserve"> </w:t>
      </w:r>
      <w:r>
        <w:t>F</w:t>
      </w:r>
      <w:r>
        <w:rPr>
          <w:spacing w:val="-12"/>
        </w:rPr>
        <w:t xml:space="preserve"> </w:t>
      </w:r>
      <w:r>
        <w:t>(simultan).</w:t>
      </w:r>
      <w:r>
        <w:rPr>
          <w:spacing w:val="-2"/>
        </w:rPr>
        <w:t xml:space="preserve"> </w:t>
      </w:r>
      <w:r>
        <w:t>Dalam melakukan analisis data, digunakan program SPSS (</w:t>
      </w:r>
      <w:r>
        <w:rPr>
          <w:i/>
        </w:rPr>
        <w:t>Statistical Package For Social Science</w:t>
      </w:r>
      <w:r>
        <w:t>) versi 25.</w:t>
      </w:r>
    </w:p>
    <w:p w:rsidR="0047739C" w:rsidRDefault="0047739C" w:rsidP="00FA043B">
      <w:pPr>
        <w:pStyle w:val="Heading1"/>
        <w:spacing w:before="59" w:line="23" w:lineRule="atLeast"/>
        <w:ind w:left="0"/>
      </w:pPr>
      <w:r>
        <w:t>HASIL</w:t>
      </w:r>
      <w:r>
        <w:rPr>
          <w:spacing w:val="1"/>
        </w:rPr>
        <w:t xml:space="preserve"> </w:t>
      </w:r>
      <w:r>
        <w:rPr>
          <w:spacing w:val="-2"/>
        </w:rPr>
        <w:t>ANALISIS</w:t>
      </w:r>
    </w:p>
    <w:p w:rsidR="0047739C" w:rsidRDefault="0047739C" w:rsidP="00FA043B">
      <w:pPr>
        <w:pStyle w:val="Heading3"/>
        <w:spacing w:before="119" w:line="23" w:lineRule="atLeast"/>
        <w:jc w:val="left"/>
      </w:pPr>
      <w:r>
        <w:t>Analisis</w:t>
      </w:r>
      <w:r>
        <w:rPr>
          <w:spacing w:val="-5"/>
        </w:rPr>
        <w:t xml:space="preserve"> </w:t>
      </w:r>
      <w:r>
        <w:t>Regresi</w:t>
      </w:r>
      <w:r>
        <w:rPr>
          <w:spacing w:val="-3"/>
        </w:rPr>
        <w:t xml:space="preserve"> </w:t>
      </w:r>
      <w:r>
        <w:t>Linear</w:t>
      </w:r>
      <w:r>
        <w:rPr>
          <w:spacing w:val="-1"/>
        </w:rPr>
        <w:t xml:space="preserve"> </w:t>
      </w:r>
      <w:r>
        <w:rPr>
          <w:spacing w:val="-2"/>
        </w:rPr>
        <w:t>Berganda</w:t>
      </w:r>
    </w:p>
    <w:p w:rsidR="0047739C" w:rsidRDefault="0047739C" w:rsidP="00FA043B">
      <w:pPr>
        <w:pStyle w:val="BodyText"/>
        <w:spacing w:before="116" w:line="23" w:lineRule="atLeast"/>
      </w:pPr>
      <w:r>
        <w:t>Tabel</w:t>
      </w:r>
      <w:r>
        <w:rPr>
          <w:spacing w:val="-2"/>
        </w:rPr>
        <w:t xml:space="preserve"> </w:t>
      </w:r>
      <w:r>
        <w:t>1:</w:t>
      </w:r>
      <w:r>
        <w:rPr>
          <w:spacing w:val="-5"/>
        </w:rPr>
        <w:t xml:space="preserve"> </w:t>
      </w:r>
      <w:r>
        <w:t>Hasil</w:t>
      </w:r>
      <w:r>
        <w:rPr>
          <w:spacing w:val="-2"/>
        </w:rPr>
        <w:t xml:space="preserve"> </w:t>
      </w:r>
      <w:r>
        <w:t>analisis</w:t>
      </w:r>
      <w:r>
        <w:rPr>
          <w:spacing w:val="-4"/>
        </w:rPr>
        <w:t xml:space="preserve"> </w:t>
      </w:r>
      <w:r>
        <w:t>regresi</w:t>
      </w:r>
      <w:r>
        <w:rPr>
          <w:spacing w:val="-2"/>
        </w:rPr>
        <w:t xml:space="preserve"> </w:t>
      </w:r>
      <w:r>
        <w:t>linear</w:t>
      </w:r>
      <w:r>
        <w:rPr>
          <w:spacing w:val="-1"/>
        </w:rPr>
        <w:t xml:space="preserve"> </w:t>
      </w:r>
      <w:r>
        <w:rPr>
          <w:spacing w:val="-2"/>
        </w:rPr>
        <w:t>berganda</w:t>
      </w:r>
    </w:p>
    <w:p w:rsidR="0047739C" w:rsidRDefault="0047739C" w:rsidP="00FA043B">
      <w:pPr>
        <w:spacing w:line="23" w:lineRule="atLeast"/>
        <w:ind w:left="742" w:right="754"/>
        <w:jc w:val="center"/>
        <w:rPr>
          <w:rFonts w:ascii="Arial"/>
          <w:b/>
          <w:color w:val="000104"/>
          <w:spacing w:val="-2"/>
          <w:vertAlign w:val="superscript"/>
        </w:rPr>
      </w:pPr>
      <w:r>
        <w:rPr>
          <w:rFonts w:ascii="Arial"/>
          <w:b/>
          <w:color w:val="000104"/>
          <w:spacing w:val="-2"/>
        </w:rPr>
        <w:t>Coefficients</w:t>
      </w:r>
      <w:r>
        <w:rPr>
          <w:rFonts w:ascii="Arial"/>
          <w:b/>
          <w:color w:val="000104"/>
          <w:spacing w:val="-2"/>
          <w:vertAlign w:val="superscript"/>
        </w:rPr>
        <w:t>a</w:t>
      </w:r>
    </w:p>
    <w:tbl>
      <w:tblPr>
        <w:tblW w:w="7962" w:type="dxa"/>
        <w:tblInd w:w="555"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720"/>
        <w:gridCol w:w="1158"/>
        <w:gridCol w:w="1311"/>
        <w:gridCol w:w="1314"/>
        <w:gridCol w:w="1445"/>
        <w:gridCol w:w="1007"/>
        <w:gridCol w:w="1007"/>
      </w:tblGrid>
      <w:tr w:rsidR="0047739C" w:rsidRPr="00796457" w:rsidTr="003E1EFB">
        <w:trPr>
          <w:trHeight w:val="446"/>
        </w:trPr>
        <w:tc>
          <w:tcPr>
            <w:tcW w:w="4503" w:type="dxa"/>
            <w:gridSpan w:val="4"/>
            <w:tcBorders>
              <w:top w:val="nil"/>
              <w:left w:val="nil"/>
              <w:bottom w:val="nil"/>
            </w:tcBorders>
          </w:tcPr>
          <w:p w:rsidR="0047739C" w:rsidRPr="00796457" w:rsidRDefault="0047739C" w:rsidP="00FA043B">
            <w:pPr>
              <w:spacing w:line="23" w:lineRule="atLeast"/>
              <w:rPr>
                <w:rFonts w:ascii="Arial" w:eastAsia="Arial MT" w:hAnsi="Arial MT" w:cs="Arial MT"/>
                <w:b/>
                <w:sz w:val="18"/>
                <w:lang w:val="en-US"/>
              </w:rPr>
            </w:pPr>
          </w:p>
          <w:p w:rsidR="0047739C" w:rsidRPr="00796457" w:rsidRDefault="0047739C" w:rsidP="00FA043B">
            <w:pPr>
              <w:spacing w:before="12" w:line="23" w:lineRule="atLeast"/>
              <w:rPr>
                <w:rFonts w:ascii="Arial" w:eastAsia="Arial MT" w:hAnsi="Arial MT" w:cs="Arial MT"/>
                <w:b/>
                <w:sz w:val="18"/>
                <w:lang w:val="en-US"/>
              </w:rPr>
            </w:pPr>
          </w:p>
          <w:p w:rsidR="0047739C" w:rsidRPr="00796457" w:rsidRDefault="0047739C" w:rsidP="00FA043B">
            <w:pPr>
              <w:spacing w:line="23" w:lineRule="atLeast"/>
              <w:ind w:left="2127"/>
              <w:rPr>
                <w:rFonts w:ascii="Arial MT" w:eastAsia="Arial MT" w:hAnsi="Arial MT" w:cs="Arial MT"/>
                <w:sz w:val="18"/>
                <w:lang w:val="en-US"/>
              </w:rPr>
            </w:pPr>
            <w:r w:rsidRPr="00796457">
              <w:rPr>
                <w:rFonts w:ascii="Arial MT" w:eastAsia="Arial MT" w:hAnsi="Arial MT" w:cs="Arial MT"/>
                <w:color w:val="25495F"/>
                <w:spacing w:val="-2"/>
                <w:sz w:val="18"/>
                <w:lang w:val="en-US"/>
              </w:rPr>
              <w:t>Unstandardized</w:t>
            </w:r>
            <w:r w:rsidRPr="00796457">
              <w:rPr>
                <w:rFonts w:ascii="Arial MT" w:eastAsia="Arial MT" w:hAnsi="Arial MT" w:cs="Arial MT"/>
                <w:color w:val="25495F"/>
                <w:spacing w:val="7"/>
                <w:sz w:val="18"/>
                <w:lang w:val="en-US"/>
              </w:rPr>
              <w:t xml:space="preserve"> </w:t>
            </w:r>
            <w:r w:rsidRPr="00796457">
              <w:rPr>
                <w:rFonts w:ascii="Arial MT" w:eastAsia="Arial MT" w:hAnsi="Arial MT" w:cs="Arial MT"/>
                <w:color w:val="25495F"/>
                <w:spacing w:val="-2"/>
                <w:sz w:val="18"/>
                <w:lang w:val="en-US"/>
              </w:rPr>
              <w:t>Coefficients</w:t>
            </w:r>
          </w:p>
        </w:tc>
        <w:tc>
          <w:tcPr>
            <w:tcW w:w="1445" w:type="dxa"/>
            <w:tcBorders>
              <w:top w:val="nil"/>
              <w:bottom w:val="nil"/>
            </w:tcBorders>
          </w:tcPr>
          <w:p w:rsidR="0047739C" w:rsidRPr="00796457" w:rsidRDefault="0047739C" w:rsidP="00FA043B">
            <w:pPr>
              <w:spacing w:line="23" w:lineRule="atLeast"/>
              <w:ind w:left="254" w:hanging="60"/>
              <w:rPr>
                <w:rFonts w:ascii="Arial MT" w:eastAsia="Arial MT" w:hAnsi="Arial MT" w:cs="Arial MT"/>
                <w:sz w:val="18"/>
                <w:lang w:val="en-US"/>
              </w:rPr>
            </w:pPr>
            <w:r w:rsidRPr="00796457">
              <w:rPr>
                <w:rFonts w:ascii="Arial MT" w:eastAsia="Arial MT" w:hAnsi="Arial MT" w:cs="Arial MT"/>
                <w:color w:val="25495F"/>
                <w:spacing w:val="-2"/>
                <w:sz w:val="18"/>
                <w:lang w:val="en-US"/>
              </w:rPr>
              <w:t>Standardized Coefficients</w:t>
            </w:r>
          </w:p>
        </w:tc>
        <w:tc>
          <w:tcPr>
            <w:tcW w:w="1007" w:type="dxa"/>
            <w:vMerge w:val="restart"/>
            <w:tcBorders>
              <w:top w:val="nil"/>
              <w:bottom w:val="single" w:sz="8" w:space="0" w:color="152935"/>
            </w:tcBorders>
          </w:tcPr>
          <w:p w:rsidR="0047739C" w:rsidRPr="00796457" w:rsidRDefault="0047739C" w:rsidP="00FA043B">
            <w:pPr>
              <w:spacing w:line="23" w:lineRule="atLeast"/>
              <w:rPr>
                <w:rFonts w:ascii="Arial" w:eastAsia="Arial MT" w:hAnsi="Arial MT" w:cs="Arial MT"/>
                <w:b/>
                <w:sz w:val="18"/>
                <w:lang w:val="en-US"/>
              </w:rPr>
            </w:pPr>
          </w:p>
          <w:p w:rsidR="0047739C" w:rsidRPr="00796457" w:rsidRDefault="0047739C" w:rsidP="00FA043B">
            <w:pPr>
              <w:spacing w:line="23" w:lineRule="atLeast"/>
              <w:rPr>
                <w:rFonts w:ascii="Arial" w:eastAsia="Arial MT" w:hAnsi="Arial MT" w:cs="Arial MT"/>
                <w:b/>
                <w:sz w:val="18"/>
                <w:lang w:val="en-US"/>
              </w:rPr>
            </w:pPr>
          </w:p>
          <w:p w:rsidR="0047739C" w:rsidRPr="00796457" w:rsidRDefault="0047739C" w:rsidP="00FA043B">
            <w:pPr>
              <w:spacing w:before="126" w:line="23" w:lineRule="atLeast"/>
              <w:rPr>
                <w:rFonts w:ascii="Arial" w:eastAsia="Arial MT" w:hAnsi="Arial MT" w:cs="Arial MT"/>
                <w:b/>
                <w:sz w:val="18"/>
                <w:lang w:val="en-US"/>
              </w:rPr>
            </w:pPr>
          </w:p>
          <w:p w:rsidR="0047739C" w:rsidRPr="00796457" w:rsidRDefault="0047739C" w:rsidP="00FA043B">
            <w:pPr>
              <w:spacing w:line="23" w:lineRule="atLeast"/>
              <w:ind w:right="3"/>
              <w:jc w:val="center"/>
              <w:rPr>
                <w:rFonts w:ascii="Arial MT" w:eastAsia="Arial MT" w:hAnsi="Arial MT" w:cs="Arial MT"/>
                <w:sz w:val="18"/>
                <w:lang w:val="en-US"/>
              </w:rPr>
            </w:pPr>
            <w:r w:rsidRPr="00796457">
              <w:rPr>
                <w:rFonts w:ascii="Arial MT" w:eastAsia="Arial MT" w:hAnsi="Arial MT" w:cs="Arial MT"/>
                <w:color w:val="25495F"/>
                <w:spacing w:val="-10"/>
                <w:sz w:val="18"/>
                <w:lang w:val="en-US"/>
              </w:rPr>
              <w:t>t</w:t>
            </w:r>
          </w:p>
        </w:tc>
        <w:tc>
          <w:tcPr>
            <w:tcW w:w="1007" w:type="dxa"/>
            <w:vMerge w:val="restart"/>
            <w:tcBorders>
              <w:top w:val="nil"/>
              <w:bottom w:val="single" w:sz="8" w:space="0" w:color="152935"/>
              <w:right w:val="nil"/>
            </w:tcBorders>
          </w:tcPr>
          <w:p w:rsidR="0047739C" w:rsidRPr="00796457" w:rsidRDefault="0047739C" w:rsidP="00FA043B">
            <w:pPr>
              <w:spacing w:line="23" w:lineRule="atLeast"/>
              <w:rPr>
                <w:rFonts w:ascii="Arial" w:eastAsia="Arial MT" w:hAnsi="Arial MT" w:cs="Arial MT"/>
                <w:b/>
                <w:sz w:val="18"/>
                <w:lang w:val="en-US"/>
              </w:rPr>
            </w:pPr>
          </w:p>
          <w:p w:rsidR="0047739C" w:rsidRPr="00796457" w:rsidRDefault="0047739C" w:rsidP="00FA043B">
            <w:pPr>
              <w:spacing w:line="23" w:lineRule="atLeast"/>
              <w:rPr>
                <w:rFonts w:ascii="Arial" w:eastAsia="Arial MT" w:hAnsi="Arial MT" w:cs="Arial MT"/>
                <w:b/>
                <w:sz w:val="18"/>
                <w:lang w:val="en-US"/>
              </w:rPr>
            </w:pPr>
          </w:p>
          <w:p w:rsidR="0047739C" w:rsidRPr="00796457" w:rsidRDefault="0047739C" w:rsidP="00FA043B">
            <w:pPr>
              <w:spacing w:before="126" w:line="23" w:lineRule="atLeast"/>
              <w:rPr>
                <w:rFonts w:ascii="Arial" w:eastAsia="Arial MT" w:hAnsi="Arial MT" w:cs="Arial MT"/>
                <w:b/>
                <w:sz w:val="18"/>
                <w:lang w:val="en-US"/>
              </w:rPr>
            </w:pPr>
          </w:p>
          <w:p w:rsidR="0047739C" w:rsidRPr="00796457" w:rsidRDefault="0047739C" w:rsidP="00FA043B">
            <w:pPr>
              <w:spacing w:line="23" w:lineRule="atLeast"/>
              <w:ind w:right="2"/>
              <w:jc w:val="center"/>
              <w:rPr>
                <w:rFonts w:ascii="Arial MT" w:eastAsia="Arial MT" w:hAnsi="Arial MT" w:cs="Arial MT"/>
                <w:sz w:val="18"/>
                <w:lang w:val="en-US"/>
              </w:rPr>
            </w:pPr>
            <w:r w:rsidRPr="00796457">
              <w:rPr>
                <w:rFonts w:ascii="Arial MT" w:eastAsia="Arial MT" w:hAnsi="Arial MT" w:cs="Arial MT"/>
                <w:color w:val="25495F"/>
                <w:spacing w:val="-4"/>
                <w:sz w:val="18"/>
                <w:lang w:val="en-US"/>
              </w:rPr>
              <w:t>Sig.</w:t>
            </w:r>
          </w:p>
        </w:tc>
      </w:tr>
      <w:tr w:rsidR="0047739C" w:rsidRPr="00796457" w:rsidTr="003E1EFB">
        <w:trPr>
          <w:trHeight w:val="211"/>
        </w:trPr>
        <w:tc>
          <w:tcPr>
            <w:tcW w:w="720" w:type="dxa"/>
            <w:tcBorders>
              <w:top w:val="nil"/>
              <w:left w:val="nil"/>
              <w:bottom w:val="single" w:sz="8" w:space="0" w:color="152935"/>
              <w:right w:val="nil"/>
            </w:tcBorders>
          </w:tcPr>
          <w:p w:rsidR="0047739C" w:rsidRPr="00796457" w:rsidRDefault="0047739C" w:rsidP="00FA043B">
            <w:pPr>
              <w:spacing w:before="87" w:line="23" w:lineRule="atLeast"/>
              <w:ind w:left="60"/>
              <w:rPr>
                <w:rFonts w:ascii="Arial MT" w:eastAsia="Arial MT" w:hAnsi="Arial MT" w:cs="Arial MT"/>
                <w:sz w:val="18"/>
                <w:lang w:val="en-US"/>
              </w:rPr>
            </w:pPr>
            <w:r w:rsidRPr="00796457">
              <w:rPr>
                <w:rFonts w:ascii="Arial MT" w:eastAsia="Arial MT" w:hAnsi="Arial MT" w:cs="Arial MT"/>
                <w:color w:val="25495F"/>
                <w:spacing w:val="-2"/>
                <w:sz w:val="18"/>
                <w:lang w:val="en-US"/>
              </w:rPr>
              <w:t>Model</w:t>
            </w:r>
          </w:p>
        </w:tc>
        <w:tc>
          <w:tcPr>
            <w:tcW w:w="1158" w:type="dxa"/>
            <w:tcBorders>
              <w:top w:val="nil"/>
              <w:left w:val="nil"/>
              <w:bottom w:val="single" w:sz="8" w:space="0" w:color="152935"/>
              <w:right w:val="nil"/>
            </w:tcBorders>
          </w:tcPr>
          <w:p w:rsidR="0047739C" w:rsidRPr="00796457" w:rsidRDefault="0047739C" w:rsidP="00FA043B">
            <w:pPr>
              <w:spacing w:line="23" w:lineRule="atLeast"/>
              <w:rPr>
                <w:rFonts w:eastAsia="Arial MT" w:hAnsi="Arial MT" w:cs="Arial MT"/>
                <w:sz w:val="18"/>
                <w:lang w:val="en-US"/>
              </w:rPr>
            </w:pPr>
          </w:p>
        </w:tc>
        <w:tc>
          <w:tcPr>
            <w:tcW w:w="1311" w:type="dxa"/>
            <w:tcBorders>
              <w:top w:val="nil"/>
              <w:left w:val="nil"/>
              <w:bottom w:val="single" w:sz="8" w:space="0" w:color="152935"/>
            </w:tcBorders>
          </w:tcPr>
          <w:p w:rsidR="0047739C" w:rsidRPr="00796457" w:rsidRDefault="0047739C" w:rsidP="00FA043B">
            <w:pPr>
              <w:spacing w:before="87" w:line="23" w:lineRule="atLeast"/>
              <w:ind w:right="3"/>
              <w:jc w:val="center"/>
              <w:rPr>
                <w:rFonts w:ascii="Arial MT" w:eastAsia="Arial MT" w:hAnsi="Arial MT" w:cs="Arial MT"/>
                <w:sz w:val="18"/>
                <w:lang w:val="en-US"/>
              </w:rPr>
            </w:pPr>
            <w:r w:rsidRPr="00796457">
              <w:rPr>
                <w:rFonts w:ascii="Arial MT" w:eastAsia="Arial MT" w:hAnsi="Arial MT" w:cs="Arial MT"/>
                <w:color w:val="25495F"/>
                <w:spacing w:val="-10"/>
                <w:sz w:val="18"/>
                <w:lang w:val="en-US"/>
              </w:rPr>
              <w:t>B</w:t>
            </w:r>
          </w:p>
        </w:tc>
        <w:tc>
          <w:tcPr>
            <w:tcW w:w="1313" w:type="dxa"/>
            <w:tcBorders>
              <w:top w:val="nil"/>
              <w:bottom w:val="single" w:sz="8" w:space="0" w:color="152935"/>
            </w:tcBorders>
          </w:tcPr>
          <w:p w:rsidR="0047739C" w:rsidRPr="00796457" w:rsidRDefault="0047739C" w:rsidP="00FA043B">
            <w:pPr>
              <w:spacing w:before="87" w:line="23" w:lineRule="atLeast"/>
              <w:ind w:left="271"/>
              <w:rPr>
                <w:rFonts w:ascii="Arial MT" w:eastAsia="Arial MT" w:hAnsi="Arial MT" w:cs="Arial MT"/>
                <w:sz w:val="18"/>
                <w:lang w:val="en-US"/>
              </w:rPr>
            </w:pPr>
            <w:r w:rsidRPr="00796457">
              <w:rPr>
                <w:rFonts w:ascii="Arial MT" w:eastAsia="Arial MT" w:hAnsi="Arial MT" w:cs="Arial MT"/>
                <w:color w:val="25495F"/>
                <w:sz w:val="18"/>
                <w:lang w:val="en-US"/>
              </w:rPr>
              <w:t>Std.</w:t>
            </w:r>
            <w:r w:rsidRPr="00796457">
              <w:rPr>
                <w:rFonts w:ascii="Arial MT" w:eastAsia="Arial MT" w:hAnsi="Arial MT" w:cs="Arial MT"/>
                <w:color w:val="25495F"/>
                <w:spacing w:val="-2"/>
                <w:sz w:val="18"/>
                <w:lang w:val="en-US"/>
              </w:rPr>
              <w:t xml:space="preserve"> Error</w:t>
            </w:r>
          </w:p>
        </w:tc>
        <w:tc>
          <w:tcPr>
            <w:tcW w:w="1445" w:type="dxa"/>
            <w:tcBorders>
              <w:top w:val="nil"/>
              <w:bottom w:val="single" w:sz="8" w:space="0" w:color="152935"/>
            </w:tcBorders>
          </w:tcPr>
          <w:p w:rsidR="0047739C" w:rsidRPr="00796457" w:rsidRDefault="0047739C" w:rsidP="00FA043B">
            <w:pPr>
              <w:spacing w:before="87" w:line="23" w:lineRule="atLeast"/>
              <w:ind w:right="4"/>
              <w:jc w:val="center"/>
              <w:rPr>
                <w:rFonts w:ascii="Arial MT" w:eastAsia="Arial MT" w:hAnsi="Arial MT" w:cs="Arial MT"/>
                <w:sz w:val="18"/>
                <w:lang w:val="en-US"/>
              </w:rPr>
            </w:pPr>
            <w:r w:rsidRPr="00796457">
              <w:rPr>
                <w:rFonts w:ascii="Arial MT" w:eastAsia="Arial MT" w:hAnsi="Arial MT" w:cs="Arial MT"/>
                <w:color w:val="25495F"/>
                <w:spacing w:val="-4"/>
                <w:sz w:val="18"/>
                <w:lang w:val="en-US"/>
              </w:rPr>
              <w:t>Beta</w:t>
            </w:r>
          </w:p>
        </w:tc>
        <w:tc>
          <w:tcPr>
            <w:tcW w:w="1007" w:type="dxa"/>
            <w:vMerge/>
            <w:tcBorders>
              <w:top w:val="nil"/>
              <w:bottom w:val="single" w:sz="8" w:space="0" w:color="152935"/>
            </w:tcBorders>
          </w:tcPr>
          <w:p w:rsidR="0047739C" w:rsidRPr="00796457" w:rsidRDefault="0047739C" w:rsidP="00FA043B">
            <w:pPr>
              <w:spacing w:line="23" w:lineRule="atLeast"/>
              <w:rPr>
                <w:rFonts w:ascii="Arial MT" w:eastAsia="Arial MT" w:hAnsi="Arial MT" w:cs="Arial MT"/>
                <w:sz w:val="2"/>
                <w:szCs w:val="2"/>
                <w:lang w:val="en-US"/>
              </w:rPr>
            </w:pPr>
          </w:p>
        </w:tc>
        <w:tc>
          <w:tcPr>
            <w:tcW w:w="1007" w:type="dxa"/>
            <w:vMerge/>
            <w:tcBorders>
              <w:top w:val="nil"/>
              <w:bottom w:val="single" w:sz="8" w:space="0" w:color="152935"/>
              <w:right w:val="nil"/>
            </w:tcBorders>
          </w:tcPr>
          <w:p w:rsidR="0047739C" w:rsidRPr="00796457" w:rsidRDefault="0047739C" w:rsidP="00FA043B">
            <w:pPr>
              <w:spacing w:line="23" w:lineRule="atLeast"/>
              <w:rPr>
                <w:rFonts w:ascii="Arial MT" w:eastAsia="Arial MT" w:hAnsi="Arial MT" w:cs="Arial MT"/>
                <w:sz w:val="2"/>
                <w:szCs w:val="2"/>
                <w:lang w:val="en-US"/>
              </w:rPr>
            </w:pPr>
          </w:p>
        </w:tc>
      </w:tr>
      <w:tr w:rsidR="0047739C" w:rsidRPr="00796457" w:rsidTr="003E1EFB">
        <w:trPr>
          <w:trHeight w:val="225"/>
        </w:trPr>
        <w:tc>
          <w:tcPr>
            <w:tcW w:w="720" w:type="dxa"/>
            <w:vMerge w:val="restart"/>
            <w:tcBorders>
              <w:top w:val="single" w:sz="8" w:space="0" w:color="152935"/>
              <w:left w:val="nil"/>
              <w:bottom w:val="single" w:sz="8" w:space="0" w:color="152935"/>
              <w:right w:val="nil"/>
            </w:tcBorders>
            <w:shd w:val="clear" w:color="auto" w:fill="DFDFDF"/>
          </w:tcPr>
          <w:p w:rsidR="0047739C" w:rsidRPr="00796457" w:rsidRDefault="0047739C" w:rsidP="00FA043B">
            <w:pPr>
              <w:spacing w:before="106" w:line="23" w:lineRule="atLeast"/>
              <w:ind w:left="60"/>
              <w:rPr>
                <w:rFonts w:ascii="Arial MT" w:eastAsia="Arial MT" w:hAnsi="Arial MT" w:cs="Arial MT"/>
                <w:sz w:val="18"/>
                <w:lang w:val="en-US"/>
              </w:rPr>
            </w:pPr>
            <w:r w:rsidRPr="00796457">
              <w:rPr>
                <w:rFonts w:ascii="Arial MT" w:eastAsia="Arial MT" w:hAnsi="Arial MT" w:cs="Arial MT"/>
                <w:color w:val="25495F"/>
                <w:spacing w:val="-10"/>
                <w:sz w:val="18"/>
                <w:lang w:val="en-US"/>
              </w:rPr>
              <w:t>1</w:t>
            </w:r>
          </w:p>
        </w:tc>
        <w:tc>
          <w:tcPr>
            <w:tcW w:w="1158" w:type="dxa"/>
            <w:tcBorders>
              <w:top w:val="single" w:sz="8" w:space="0" w:color="152935"/>
              <w:left w:val="nil"/>
              <w:bottom w:val="single" w:sz="8" w:space="0" w:color="ADADAD"/>
              <w:right w:val="nil"/>
            </w:tcBorders>
            <w:shd w:val="clear" w:color="auto" w:fill="DFDFDF"/>
          </w:tcPr>
          <w:p w:rsidR="0047739C" w:rsidRPr="00796457" w:rsidRDefault="0047739C" w:rsidP="00FA043B">
            <w:pPr>
              <w:spacing w:before="106" w:line="23" w:lineRule="atLeast"/>
              <w:ind w:left="59"/>
              <w:rPr>
                <w:rFonts w:ascii="Arial MT" w:eastAsia="Arial MT" w:hAnsi="Arial MT" w:cs="Arial MT"/>
                <w:sz w:val="18"/>
                <w:lang w:val="en-US"/>
              </w:rPr>
            </w:pPr>
            <w:r w:rsidRPr="00796457">
              <w:rPr>
                <w:rFonts w:ascii="Arial MT" w:eastAsia="Arial MT" w:hAnsi="Arial MT" w:cs="Arial MT"/>
                <w:color w:val="25495F"/>
                <w:spacing w:val="-2"/>
                <w:sz w:val="18"/>
                <w:lang w:val="en-US"/>
              </w:rPr>
              <w:t>(Constant)</w:t>
            </w:r>
          </w:p>
        </w:tc>
        <w:tc>
          <w:tcPr>
            <w:tcW w:w="1311" w:type="dxa"/>
            <w:tcBorders>
              <w:top w:val="single" w:sz="8" w:space="0" w:color="152935"/>
              <w:left w:val="nil"/>
              <w:bottom w:val="single" w:sz="8" w:space="0" w:color="ADADAD"/>
            </w:tcBorders>
          </w:tcPr>
          <w:p w:rsidR="0047739C" w:rsidRPr="00796457" w:rsidRDefault="0047739C" w:rsidP="00FA043B">
            <w:pPr>
              <w:spacing w:before="106" w:line="23" w:lineRule="atLeast"/>
              <w:ind w:right="60"/>
              <w:jc w:val="right"/>
              <w:rPr>
                <w:rFonts w:ascii="Arial MT" w:eastAsia="Arial MT" w:hAnsi="Arial MT" w:cs="Arial MT"/>
                <w:sz w:val="18"/>
                <w:lang w:val="en-US"/>
              </w:rPr>
            </w:pPr>
            <w:r w:rsidRPr="00796457">
              <w:rPr>
                <w:rFonts w:ascii="Arial MT" w:eastAsia="Arial MT" w:hAnsi="Arial MT" w:cs="Arial MT"/>
                <w:color w:val="000104"/>
                <w:spacing w:val="-2"/>
                <w:sz w:val="18"/>
                <w:lang w:val="en-US"/>
              </w:rPr>
              <w:t>2102,691</w:t>
            </w:r>
          </w:p>
        </w:tc>
        <w:tc>
          <w:tcPr>
            <w:tcW w:w="1313" w:type="dxa"/>
            <w:tcBorders>
              <w:top w:val="single" w:sz="8" w:space="0" w:color="152935"/>
              <w:bottom w:val="single" w:sz="8" w:space="0" w:color="ADADAD"/>
            </w:tcBorders>
          </w:tcPr>
          <w:p w:rsidR="0047739C" w:rsidRPr="00796457" w:rsidRDefault="0047739C" w:rsidP="00FA043B">
            <w:pPr>
              <w:spacing w:before="106" w:line="23" w:lineRule="atLeast"/>
              <w:ind w:right="58"/>
              <w:jc w:val="right"/>
              <w:rPr>
                <w:rFonts w:ascii="Arial MT" w:eastAsia="Arial MT" w:hAnsi="Arial MT" w:cs="Arial MT"/>
                <w:sz w:val="18"/>
                <w:lang w:val="en-US"/>
              </w:rPr>
            </w:pPr>
            <w:r w:rsidRPr="00796457">
              <w:rPr>
                <w:rFonts w:ascii="Arial MT" w:eastAsia="Arial MT" w:hAnsi="Arial MT" w:cs="Arial MT"/>
                <w:color w:val="000104"/>
                <w:spacing w:val="-2"/>
                <w:sz w:val="18"/>
                <w:lang w:val="en-US"/>
              </w:rPr>
              <w:t>1049,891</w:t>
            </w:r>
          </w:p>
        </w:tc>
        <w:tc>
          <w:tcPr>
            <w:tcW w:w="1445" w:type="dxa"/>
            <w:tcBorders>
              <w:top w:val="single" w:sz="8" w:space="0" w:color="152935"/>
              <w:bottom w:val="single" w:sz="8" w:space="0" w:color="ADADAD"/>
            </w:tcBorders>
          </w:tcPr>
          <w:p w:rsidR="0047739C" w:rsidRPr="00796457" w:rsidRDefault="0047739C" w:rsidP="00FA043B">
            <w:pPr>
              <w:spacing w:line="23" w:lineRule="atLeast"/>
              <w:rPr>
                <w:rFonts w:eastAsia="Arial MT" w:hAnsi="Arial MT" w:cs="Arial MT"/>
                <w:sz w:val="18"/>
                <w:lang w:val="en-US"/>
              </w:rPr>
            </w:pPr>
          </w:p>
        </w:tc>
        <w:tc>
          <w:tcPr>
            <w:tcW w:w="1007" w:type="dxa"/>
            <w:tcBorders>
              <w:top w:val="single" w:sz="8" w:space="0" w:color="152935"/>
              <w:bottom w:val="single" w:sz="8" w:space="0" w:color="ADADAD"/>
            </w:tcBorders>
          </w:tcPr>
          <w:p w:rsidR="0047739C" w:rsidRPr="00796457" w:rsidRDefault="0047739C" w:rsidP="00FA043B">
            <w:pPr>
              <w:spacing w:before="106" w:line="23" w:lineRule="atLeast"/>
              <w:ind w:right="59"/>
              <w:jc w:val="right"/>
              <w:rPr>
                <w:rFonts w:ascii="Arial MT" w:eastAsia="Arial MT" w:hAnsi="Arial MT" w:cs="Arial MT"/>
                <w:sz w:val="18"/>
                <w:lang w:val="en-US"/>
              </w:rPr>
            </w:pPr>
            <w:r w:rsidRPr="00796457">
              <w:rPr>
                <w:rFonts w:ascii="Arial MT" w:eastAsia="Arial MT" w:hAnsi="Arial MT" w:cs="Arial MT"/>
                <w:color w:val="000104"/>
                <w:spacing w:val="-2"/>
                <w:sz w:val="18"/>
                <w:lang w:val="en-US"/>
              </w:rPr>
              <w:t>2,003</w:t>
            </w:r>
          </w:p>
        </w:tc>
        <w:tc>
          <w:tcPr>
            <w:tcW w:w="1007" w:type="dxa"/>
            <w:tcBorders>
              <w:top w:val="single" w:sz="8" w:space="0" w:color="152935"/>
              <w:bottom w:val="single" w:sz="8" w:space="0" w:color="ADADAD"/>
              <w:right w:val="nil"/>
            </w:tcBorders>
          </w:tcPr>
          <w:p w:rsidR="0047739C" w:rsidRPr="00796457" w:rsidRDefault="0047739C" w:rsidP="00FA043B">
            <w:pPr>
              <w:spacing w:before="106" w:line="23" w:lineRule="atLeast"/>
              <w:ind w:right="59"/>
              <w:jc w:val="right"/>
              <w:rPr>
                <w:rFonts w:ascii="Arial MT" w:eastAsia="Arial MT" w:hAnsi="Arial MT" w:cs="Arial MT"/>
                <w:sz w:val="18"/>
                <w:lang w:val="en-US"/>
              </w:rPr>
            </w:pPr>
            <w:r w:rsidRPr="00796457">
              <w:rPr>
                <w:rFonts w:ascii="Arial MT" w:eastAsia="Arial MT" w:hAnsi="Arial MT" w:cs="Arial MT"/>
                <w:color w:val="000104"/>
                <w:spacing w:val="-4"/>
                <w:sz w:val="18"/>
                <w:lang w:val="en-US"/>
              </w:rPr>
              <w:t>,183</w:t>
            </w:r>
          </w:p>
        </w:tc>
      </w:tr>
      <w:tr w:rsidR="0047739C" w:rsidRPr="00796457" w:rsidTr="003E1EFB">
        <w:trPr>
          <w:trHeight w:val="224"/>
        </w:trPr>
        <w:tc>
          <w:tcPr>
            <w:tcW w:w="720" w:type="dxa"/>
            <w:vMerge/>
            <w:tcBorders>
              <w:top w:val="nil"/>
              <w:left w:val="nil"/>
              <w:bottom w:val="single" w:sz="8" w:space="0" w:color="152935"/>
              <w:right w:val="nil"/>
            </w:tcBorders>
            <w:shd w:val="clear" w:color="auto" w:fill="DFDFDF"/>
          </w:tcPr>
          <w:p w:rsidR="0047739C" w:rsidRPr="00796457" w:rsidRDefault="0047739C" w:rsidP="00FA043B">
            <w:pPr>
              <w:spacing w:line="23" w:lineRule="atLeast"/>
              <w:rPr>
                <w:rFonts w:ascii="Arial MT" w:eastAsia="Arial MT" w:hAnsi="Arial MT" w:cs="Arial MT"/>
                <w:sz w:val="2"/>
                <w:szCs w:val="2"/>
                <w:lang w:val="en-US"/>
              </w:rPr>
            </w:pPr>
          </w:p>
        </w:tc>
        <w:tc>
          <w:tcPr>
            <w:tcW w:w="1158" w:type="dxa"/>
            <w:tcBorders>
              <w:top w:val="single" w:sz="8" w:space="0" w:color="ADADAD"/>
              <w:left w:val="nil"/>
              <w:bottom w:val="single" w:sz="8" w:space="0" w:color="ADADAD"/>
              <w:right w:val="nil"/>
            </w:tcBorders>
            <w:shd w:val="clear" w:color="auto" w:fill="DFDFDF"/>
          </w:tcPr>
          <w:p w:rsidR="0047739C" w:rsidRPr="00796457" w:rsidRDefault="0047739C" w:rsidP="00FA043B">
            <w:pPr>
              <w:spacing w:before="106" w:line="23" w:lineRule="atLeast"/>
              <w:ind w:left="59"/>
              <w:rPr>
                <w:rFonts w:ascii="Arial MT" w:eastAsia="Arial MT" w:hAnsi="Arial MT" w:cs="Arial MT"/>
                <w:sz w:val="18"/>
                <w:lang w:val="en-US"/>
              </w:rPr>
            </w:pPr>
            <w:r w:rsidRPr="00796457">
              <w:rPr>
                <w:rFonts w:ascii="Arial MT" w:eastAsia="Arial MT" w:hAnsi="Arial MT" w:cs="Arial MT"/>
                <w:color w:val="25495F"/>
                <w:spacing w:val="-5"/>
                <w:sz w:val="18"/>
                <w:lang w:val="en-US"/>
              </w:rPr>
              <w:t>DPS</w:t>
            </w:r>
          </w:p>
        </w:tc>
        <w:tc>
          <w:tcPr>
            <w:tcW w:w="1311" w:type="dxa"/>
            <w:tcBorders>
              <w:top w:val="single" w:sz="8" w:space="0" w:color="ADADAD"/>
              <w:left w:val="nil"/>
              <w:bottom w:val="single" w:sz="8" w:space="0" w:color="ADADAD"/>
            </w:tcBorders>
          </w:tcPr>
          <w:p w:rsidR="0047739C" w:rsidRPr="00796457" w:rsidRDefault="0047739C" w:rsidP="00FA043B">
            <w:pPr>
              <w:spacing w:before="106" w:line="23" w:lineRule="atLeast"/>
              <w:ind w:right="60"/>
              <w:jc w:val="right"/>
              <w:rPr>
                <w:rFonts w:ascii="Arial MT" w:eastAsia="Arial MT" w:hAnsi="Arial MT" w:cs="Arial MT"/>
                <w:sz w:val="18"/>
                <w:lang w:val="en-US"/>
              </w:rPr>
            </w:pPr>
            <w:r w:rsidRPr="00796457">
              <w:rPr>
                <w:rFonts w:ascii="Arial MT" w:eastAsia="Arial MT" w:hAnsi="Arial MT" w:cs="Arial MT"/>
                <w:color w:val="000104"/>
                <w:spacing w:val="-2"/>
                <w:sz w:val="18"/>
                <w:lang w:val="en-US"/>
              </w:rPr>
              <w:t>4,338</w:t>
            </w:r>
          </w:p>
        </w:tc>
        <w:tc>
          <w:tcPr>
            <w:tcW w:w="1313" w:type="dxa"/>
            <w:tcBorders>
              <w:top w:val="single" w:sz="8" w:space="0" w:color="ADADAD"/>
              <w:bottom w:val="single" w:sz="8" w:space="0" w:color="ADADAD"/>
            </w:tcBorders>
          </w:tcPr>
          <w:p w:rsidR="0047739C" w:rsidRPr="00796457" w:rsidRDefault="0047739C" w:rsidP="00FA043B">
            <w:pPr>
              <w:spacing w:before="106" w:line="23" w:lineRule="atLeast"/>
              <w:ind w:right="58"/>
              <w:jc w:val="right"/>
              <w:rPr>
                <w:rFonts w:ascii="Arial MT" w:eastAsia="Arial MT" w:hAnsi="Arial MT" w:cs="Arial MT"/>
                <w:sz w:val="18"/>
                <w:lang w:val="en-US"/>
              </w:rPr>
            </w:pPr>
            <w:r w:rsidRPr="00796457">
              <w:rPr>
                <w:rFonts w:ascii="Arial MT" w:eastAsia="Arial MT" w:hAnsi="Arial MT" w:cs="Arial MT"/>
                <w:color w:val="000104"/>
                <w:spacing w:val="-2"/>
                <w:sz w:val="18"/>
                <w:lang w:val="en-US"/>
              </w:rPr>
              <w:t>16,708</w:t>
            </w:r>
          </w:p>
        </w:tc>
        <w:tc>
          <w:tcPr>
            <w:tcW w:w="1445" w:type="dxa"/>
            <w:tcBorders>
              <w:top w:val="single" w:sz="8" w:space="0" w:color="ADADAD"/>
              <w:bottom w:val="single" w:sz="8" w:space="0" w:color="ADADAD"/>
            </w:tcBorders>
          </w:tcPr>
          <w:p w:rsidR="0047739C" w:rsidRPr="00796457" w:rsidRDefault="0047739C" w:rsidP="00FA043B">
            <w:pPr>
              <w:spacing w:before="106" w:line="23" w:lineRule="atLeast"/>
              <w:ind w:right="59"/>
              <w:jc w:val="right"/>
              <w:rPr>
                <w:rFonts w:ascii="Arial MT" w:eastAsia="Arial MT" w:hAnsi="Arial MT" w:cs="Arial MT"/>
                <w:sz w:val="18"/>
                <w:lang w:val="en-US"/>
              </w:rPr>
            </w:pPr>
            <w:r w:rsidRPr="00796457">
              <w:rPr>
                <w:rFonts w:ascii="Arial MT" w:eastAsia="Arial MT" w:hAnsi="Arial MT" w:cs="Arial MT"/>
                <w:color w:val="000104"/>
                <w:spacing w:val="-4"/>
                <w:sz w:val="18"/>
                <w:lang w:val="en-US"/>
              </w:rPr>
              <w:t>,182</w:t>
            </w:r>
          </w:p>
        </w:tc>
        <w:tc>
          <w:tcPr>
            <w:tcW w:w="1007" w:type="dxa"/>
            <w:tcBorders>
              <w:top w:val="single" w:sz="8" w:space="0" w:color="ADADAD"/>
              <w:bottom w:val="single" w:sz="8" w:space="0" w:color="ADADAD"/>
            </w:tcBorders>
          </w:tcPr>
          <w:p w:rsidR="0047739C" w:rsidRPr="00796457" w:rsidRDefault="0047739C" w:rsidP="00FA043B">
            <w:pPr>
              <w:spacing w:before="106" w:line="23" w:lineRule="atLeast"/>
              <w:ind w:right="59"/>
              <w:jc w:val="right"/>
              <w:rPr>
                <w:rFonts w:ascii="Arial MT" w:eastAsia="Arial MT" w:hAnsi="Arial MT" w:cs="Arial MT"/>
                <w:sz w:val="18"/>
                <w:lang w:val="en-US"/>
              </w:rPr>
            </w:pPr>
            <w:r w:rsidRPr="00796457">
              <w:rPr>
                <w:rFonts w:ascii="Arial MT" w:eastAsia="Arial MT" w:hAnsi="Arial MT" w:cs="Arial MT"/>
                <w:color w:val="000104"/>
                <w:spacing w:val="-4"/>
                <w:sz w:val="18"/>
                <w:lang w:val="en-US"/>
              </w:rPr>
              <w:t>,260</w:t>
            </w:r>
          </w:p>
        </w:tc>
        <w:tc>
          <w:tcPr>
            <w:tcW w:w="1007" w:type="dxa"/>
            <w:tcBorders>
              <w:top w:val="single" w:sz="8" w:space="0" w:color="ADADAD"/>
              <w:bottom w:val="single" w:sz="8" w:space="0" w:color="ADADAD"/>
              <w:right w:val="nil"/>
            </w:tcBorders>
          </w:tcPr>
          <w:p w:rsidR="0047739C" w:rsidRPr="00796457" w:rsidRDefault="0047739C" w:rsidP="00FA043B">
            <w:pPr>
              <w:spacing w:before="106" w:line="23" w:lineRule="atLeast"/>
              <w:ind w:right="59"/>
              <w:jc w:val="right"/>
              <w:rPr>
                <w:rFonts w:ascii="Arial MT" w:eastAsia="Arial MT" w:hAnsi="Arial MT" w:cs="Arial MT"/>
                <w:sz w:val="18"/>
                <w:lang w:val="en-US"/>
              </w:rPr>
            </w:pPr>
            <w:r w:rsidRPr="00796457">
              <w:rPr>
                <w:rFonts w:ascii="Arial MT" w:eastAsia="Arial MT" w:hAnsi="Arial MT" w:cs="Arial MT"/>
                <w:color w:val="000104"/>
                <w:spacing w:val="-4"/>
                <w:sz w:val="18"/>
                <w:lang w:val="en-US"/>
              </w:rPr>
              <w:t>,819</w:t>
            </w:r>
          </w:p>
        </w:tc>
      </w:tr>
      <w:tr w:rsidR="0047739C" w:rsidRPr="00796457" w:rsidTr="003E1EFB">
        <w:trPr>
          <w:trHeight w:val="63"/>
        </w:trPr>
        <w:tc>
          <w:tcPr>
            <w:tcW w:w="720" w:type="dxa"/>
            <w:vMerge/>
            <w:tcBorders>
              <w:top w:val="nil"/>
              <w:left w:val="nil"/>
              <w:bottom w:val="single" w:sz="8" w:space="0" w:color="152935"/>
              <w:right w:val="nil"/>
            </w:tcBorders>
            <w:shd w:val="clear" w:color="auto" w:fill="DFDFDF"/>
          </w:tcPr>
          <w:p w:rsidR="0047739C" w:rsidRPr="00796457" w:rsidRDefault="0047739C" w:rsidP="00FA043B">
            <w:pPr>
              <w:spacing w:line="23" w:lineRule="atLeast"/>
              <w:rPr>
                <w:rFonts w:ascii="Arial MT" w:eastAsia="Arial MT" w:hAnsi="Arial MT" w:cs="Arial MT"/>
                <w:sz w:val="2"/>
                <w:szCs w:val="2"/>
                <w:lang w:val="en-US"/>
              </w:rPr>
            </w:pPr>
          </w:p>
        </w:tc>
        <w:tc>
          <w:tcPr>
            <w:tcW w:w="1158" w:type="dxa"/>
            <w:tcBorders>
              <w:top w:val="single" w:sz="8" w:space="0" w:color="ADADAD"/>
              <w:left w:val="nil"/>
              <w:bottom w:val="single" w:sz="8" w:space="0" w:color="152935"/>
              <w:right w:val="nil"/>
            </w:tcBorders>
            <w:shd w:val="clear" w:color="auto" w:fill="DFDFDF"/>
          </w:tcPr>
          <w:p w:rsidR="0047739C" w:rsidRPr="00796457" w:rsidRDefault="0047739C" w:rsidP="00FA043B">
            <w:pPr>
              <w:spacing w:before="108" w:line="23" w:lineRule="atLeast"/>
              <w:ind w:left="59"/>
              <w:rPr>
                <w:rFonts w:ascii="Arial MT" w:eastAsia="Arial MT" w:hAnsi="Arial MT" w:cs="Arial MT"/>
                <w:sz w:val="18"/>
                <w:lang w:val="en-US"/>
              </w:rPr>
            </w:pPr>
            <w:r w:rsidRPr="00796457">
              <w:rPr>
                <w:rFonts w:ascii="Arial MT" w:eastAsia="Arial MT" w:hAnsi="Arial MT" w:cs="Arial MT"/>
                <w:color w:val="25495F"/>
                <w:spacing w:val="-5"/>
                <w:sz w:val="18"/>
                <w:lang w:val="en-US"/>
              </w:rPr>
              <w:t>DER</w:t>
            </w:r>
          </w:p>
        </w:tc>
        <w:tc>
          <w:tcPr>
            <w:tcW w:w="1311" w:type="dxa"/>
            <w:tcBorders>
              <w:top w:val="single" w:sz="8" w:space="0" w:color="ADADAD"/>
              <w:left w:val="nil"/>
              <w:bottom w:val="single" w:sz="8" w:space="0" w:color="152935"/>
            </w:tcBorders>
          </w:tcPr>
          <w:p w:rsidR="0047739C" w:rsidRPr="00796457" w:rsidRDefault="0047739C" w:rsidP="00FA043B">
            <w:pPr>
              <w:spacing w:before="108" w:line="23" w:lineRule="atLeast"/>
              <w:ind w:right="61"/>
              <w:jc w:val="right"/>
              <w:rPr>
                <w:rFonts w:ascii="Arial MT" w:eastAsia="Arial MT" w:hAnsi="Arial MT" w:cs="Arial MT"/>
                <w:sz w:val="18"/>
                <w:lang w:val="en-US"/>
              </w:rPr>
            </w:pPr>
            <w:r w:rsidRPr="00796457">
              <w:rPr>
                <w:rFonts w:ascii="Arial MT" w:eastAsia="Arial MT" w:hAnsi="Arial MT" w:cs="Arial MT"/>
                <w:color w:val="000104"/>
                <w:spacing w:val="-2"/>
                <w:sz w:val="18"/>
                <w:lang w:val="en-US"/>
              </w:rPr>
              <w:t>-17,674</w:t>
            </w:r>
          </w:p>
        </w:tc>
        <w:tc>
          <w:tcPr>
            <w:tcW w:w="1313" w:type="dxa"/>
            <w:tcBorders>
              <w:top w:val="single" w:sz="8" w:space="0" w:color="ADADAD"/>
              <w:bottom w:val="single" w:sz="8" w:space="0" w:color="152935"/>
            </w:tcBorders>
          </w:tcPr>
          <w:p w:rsidR="0047739C" w:rsidRPr="00796457" w:rsidRDefault="0047739C" w:rsidP="00FA043B">
            <w:pPr>
              <w:spacing w:before="108" w:line="23" w:lineRule="atLeast"/>
              <w:ind w:right="58"/>
              <w:jc w:val="right"/>
              <w:rPr>
                <w:rFonts w:ascii="Arial MT" w:eastAsia="Arial MT" w:hAnsi="Arial MT" w:cs="Arial MT"/>
                <w:sz w:val="18"/>
                <w:lang w:val="en-US"/>
              </w:rPr>
            </w:pPr>
            <w:r w:rsidRPr="00796457">
              <w:rPr>
                <w:rFonts w:ascii="Arial MT" w:eastAsia="Arial MT" w:hAnsi="Arial MT" w:cs="Arial MT"/>
                <w:color w:val="000104"/>
                <w:spacing w:val="-2"/>
                <w:sz w:val="18"/>
                <w:lang w:val="en-US"/>
              </w:rPr>
              <w:t>44,764</w:t>
            </w:r>
          </w:p>
        </w:tc>
        <w:tc>
          <w:tcPr>
            <w:tcW w:w="1445" w:type="dxa"/>
            <w:tcBorders>
              <w:top w:val="single" w:sz="8" w:space="0" w:color="ADADAD"/>
              <w:bottom w:val="single" w:sz="8" w:space="0" w:color="152935"/>
            </w:tcBorders>
          </w:tcPr>
          <w:p w:rsidR="0047739C" w:rsidRPr="00796457" w:rsidRDefault="0047739C" w:rsidP="00FA043B">
            <w:pPr>
              <w:spacing w:before="108" w:line="23" w:lineRule="atLeast"/>
              <w:ind w:right="59"/>
              <w:jc w:val="right"/>
              <w:rPr>
                <w:rFonts w:ascii="Arial MT" w:eastAsia="Arial MT" w:hAnsi="Arial MT" w:cs="Arial MT"/>
                <w:sz w:val="18"/>
                <w:lang w:val="en-US"/>
              </w:rPr>
            </w:pPr>
            <w:r w:rsidRPr="00796457">
              <w:rPr>
                <w:rFonts w:ascii="Arial MT" w:eastAsia="Arial MT" w:hAnsi="Arial MT" w:cs="Arial MT"/>
                <w:color w:val="000104"/>
                <w:spacing w:val="-2"/>
                <w:sz w:val="18"/>
                <w:lang w:val="en-US"/>
              </w:rPr>
              <w:t>-</w:t>
            </w:r>
            <w:r w:rsidRPr="00796457">
              <w:rPr>
                <w:rFonts w:ascii="Arial MT" w:eastAsia="Arial MT" w:hAnsi="Arial MT" w:cs="Arial MT"/>
                <w:color w:val="000104"/>
                <w:spacing w:val="-4"/>
                <w:sz w:val="18"/>
                <w:lang w:val="en-US"/>
              </w:rPr>
              <w:t>,277</w:t>
            </w:r>
          </w:p>
        </w:tc>
        <w:tc>
          <w:tcPr>
            <w:tcW w:w="1007" w:type="dxa"/>
            <w:tcBorders>
              <w:top w:val="single" w:sz="8" w:space="0" w:color="ADADAD"/>
              <w:bottom w:val="single" w:sz="8" w:space="0" w:color="152935"/>
            </w:tcBorders>
          </w:tcPr>
          <w:p w:rsidR="0047739C" w:rsidRPr="00796457" w:rsidRDefault="0047739C" w:rsidP="00FA043B">
            <w:pPr>
              <w:spacing w:before="108" w:line="23" w:lineRule="atLeast"/>
              <w:ind w:right="59"/>
              <w:jc w:val="right"/>
              <w:rPr>
                <w:rFonts w:ascii="Arial MT" w:eastAsia="Arial MT" w:hAnsi="Arial MT" w:cs="Arial MT"/>
                <w:sz w:val="18"/>
                <w:lang w:val="en-US"/>
              </w:rPr>
            </w:pPr>
            <w:r w:rsidRPr="00796457">
              <w:rPr>
                <w:rFonts w:ascii="Arial MT" w:eastAsia="Arial MT" w:hAnsi="Arial MT" w:cs="Arial MT"/>
                <w:color w:val="000104"/>
                <w:spacing w:val="-2"/>
                <w:sz w:val="18"/>
                <w:lang w:val="en-US"/>
              </w:rPr>
              <w:t>-</w:t>
            </w:r>
            <w:r w:rsidRPr="00796457">
              <w:rPr>
                <w:rFonts w:ascii="Arial MT" w:eastAsia="Arial MT" w:hAnsi="Arial MT" w:cs="Arial MT"/>
                <w:color w:val="000104"/>
                <w:spacing w:val="-4"/>
                <w:sz w:val="18"/>
                <w:lang w:val="en-US"/>
              </w:rPr>
              <w:t>,395</w:t>
            </w:r>
          </w:p>
        </w:tc>
        <w:tc>
          <w:tcPr>
            <w:tcW w:w="1007" w:type="dxa"/>
            <w:tcBorders>
              <w:top w:val="single" w:sz="8" w:space="0" w:color="ADADAD"/>
              <w:bottom w:val="single" w:sz="8" w:space="0" w:color="152935"/>
              <w:right w:val="nil"/>
            </w:tcBorders>
          </w:tcPr>
          <w:p w:rsidR="0047739C" w:rsidRPr="00796457" w:rsidRDefault="0047739C" w:rsidP="00FA043B">
            <w:pPr>
              <w:spacing w:before="108" w:line="23" w:lineRule="atLeast"/>
              <w:ind w:right="59"/>
              <w:jc w:val="right"/>
              <w:rPr>
                <w:rFonts w:ascii="Arial MT" w:eastAsia="Arial MT" w:hAnsi="Arial MT" w:cs="Arial MT"/>
                <w:sz w:val="18"/>
                <w:lang w:val="en-US"/>
              </w:rPr>
            </w:pPr>
            <w:r w:rsidRPr="00796457">
              <w:rPr>
                <w:rFonts w:ascii="Arial MT" w:eastAsia="Arial MT" w:hAnsi="Arial MT" w:cs="Arial MT"/>
                <w:color w:val="000104"/>
                <w:spacing w:val="-4"/>
                <w:sz w:val="18"/>
                <w:lang w:val="en-US"/>
              </w:rPr>
              <w:t>,731</w:t>
            </w:r>
          </w:p>
        </w:tc>
      </w:tr>
    </w:tbl>
    <w:p w:rsidR="0047739C" w:rsidRDefault="0047739C" w:rsidP="00FA043B">
      <w:pPr>
        <w:tabs>
          <w:tab w:val="left" w:pos="1125"/>
        </w:tabs>
        <w:spacing w:line="23" w:lineRule="atLeast"/>
      </w:pPr>
    </w:p>
    <w:p w:rsidR="003E1EFB" w:rsidRDefault="003E1EFB" w:rsidP="00FA043B">
      <w:pPr>
        <w:pStyle w:val="BodyText"/>
        <w:spacing w:line="23" w:lineRule="atLeast"/>
        <w:ind w:left="0"/>
        <w:jc w:val="both"/>
      </w:pPr>
      <w:r>
        <w:t>Sumber:</w:t>
      </w:r>
      <w:r>
        <w:rPr>
          <w:spacing w:val="-4"/>
        </w:rPr>
        <w:t xml:space="preserve"> </w:t>
      </w:r>
      <w:r>
        <w:t xml:space="preserve">SPSS, data diolah </w:t>
      </w:r>
      <w:r>
        <w:rPr>
          <w:spacing w:val="-2"/>
        </w:rPr>
        <w:t>(2023)</w:t>
      </w:r>
    </w:p>
    <w:p w:rsidR="003E1EFB" w:rsidRDefault="003E1EFB" w:rsidP="00FA043B">
      <w:pPr>
        <w:pStyle w:val="BodyText"/>
        <w:spacing w:line="23" w:lineRule="atLeast"/>
        <w:ind w:left="0"/>
      </w:pPr>
    </w:p>
    <w:p w:rsidR="003E1EFB" w:rsidRDefault="003E1EFB" w:rsidP="00FA043B">
      <w:pPr>
        <w:pStyle w:val="BodyText"/>
        <w:spacing w:before="1" w:line="23" w:lineRule="atLeast"/>
        <w:rPr>
          <w:spacing w:val="-2"/>
        </w:rPr>
      </w:pPr>
      <w:r>
        <w:t>Berdasarkan</w:t>
      </w:r>
      <w:r>
        <w:rPr>
          <w:spacing w:val="-3"/>
        </w:rPr>
        <w:t xml:space="preserve"> </w:t>
      </w:r>
      <w:r>
        <w:t>tabel</w:t>
      </w:r>
      <w:r>
        <w:rPr>
          <w:spacing w:val="-3"/>
        </w:rPr>
        <w:t xml:space="preserve"> </w:t>
      </w:r>
      <w:r>
        <w:t>1</w:t>
      </w:r>
      <w:r>
        <w:rPr>
          <w:spacing w:val="-3"/>
        </w:rPr>
        <w:t xml:space="preserve"> </w:t>
      </w:r>
      <w:r>
        <w:t>diperoleh</w:t>
      </w:r>
      <w:r>
        <w:rPr>
          <w:spacing w:val="-2"/>
        </w:rPr>
        <w:t xml:space="preserve"> </w:t>
      </w:r>
      <w:r>
        <w:t>rumus</w:t>
      </w:r>
      <w:r>
        <w:rPr>
          <w:spacing w:val="-5"/>
        </w:rPr>
        <w:t xml:space="preserve"> </w:t>
      </w:r>
      <w:r>
        <w:t>regresi</w:t>
      </w:r>
      <w:r>
        <w:rPr>
          <w:spacing w:val="4"/>
        </w:rPr>
        <w:t xml:space="preserve"> </w:t>
      </w:r>
      <w:r>
        <w:t>sebagai</w:t>
      </w:r>
      <w:r>
        <w:rPr>
          <w:spacing w:val="-2"/>
        </w:rPr>
        <w:t xml:space="preserve"> berikut:</w:t>
      </w:r>
    </w:p>
    <w:p w:rsidR="003E1EFB" w:rsidRDefault="003E1EFB" w:rsidP="00FA043B">
      <w:pPr>
        <w:pStyle w:val="BodyText"/>
        <w:spacing w:before="1" w:line="23" w:lineRule="atLeast"/>
      </w:pPr>
    </w:p>
    <w:p w:rsidR="003E1EFB" w:rsidRPr="00D82953" w:rsidRDefault="003E1EFB" w:rsidP="00FA043B">
      <w:pPr>
        <w:spacing w:line="23" w:lineRule="atLeast"/>
        <w:ind w:left="1440" w:firstLine="720"/>
        <w:jc w:val="both"/>
        <w:rPr>
          <w:rFonts w:ascii="Arial" w:hAnsi="Arial" w:cs="Arial"/>
          <w:color w:val="000000"/>
          <w:vertAlign w:val="subscript"/>
        </w:rPr>
      </w:pPr>
      <w:r w:rsidRPr="00D82953">
        <w:rPr>
          <w:rFonts w:ascii="Arial MT" w:hAnsi="Arial MT"/>
        </w:rPr>
        <w:t>Y</w:t>
      </w:r>
      <w:r w:rsidRPr="00D82953">
        <w:rPr>
          <w:rFonts w:ascii="Arial MT" w:hAnsi="Arial MT"/>
          <w:spacing w:val="-4"/>
        </w:rPr>
        <w:t xml:space="preserve"> </w:t>
      </w:r>
      <w:r w:rsidRPr="00D82953">
        <w:rPr>
          <w:rFonts w:ascii="Arial MT" w:hAnsi="Arial MT"/>
        </w:rPr>
        <w:t>=</w:t>
      </w:r>
      <w:r w:rsidRPr="00D82953">
        <w:rPr>
          <w:rFonts w:ascii="Arial MT" w:hAnsi="Arial MT"/>
          <w:spacing w:val="-3"/>
        </w:rPr>
        <w:t xml:space="preserve"> </w:t>
      </w:r>
      <w:r w:rsidRPr="00D82953">
        <w:rPr>
          <w:rFonts w:ascii="Arial" w:hAnsi="Arial" w:cs="Arial"/>
          <w:color w:val="000000"/>
        </w:rPr>
        <w:t>2.102,691 + 4,338X</w:t>
      </w:r>
      <w:r w:rsidRPr="00D82953">
        <w:rPr>
          <w:rFonts w:ascii="Arial" w:hAnsi="Arial" w:cs="Arial"/>
          <w:color w:val="000000"/>
          <w:vertAlign w:val="subscript"/>
        </w:rPr>
        <w:t>1</w:t>
      </w:r>
      <w:r w:rsidRPr="00D82953">
        <w:rPr>
          <w:rFonts w:ascii="Arial" w:hAnsi="Arial" w:cs="Arial"/>
          <w:color w:val="000000"/>
        </w:rPr>
        <w:t xml:space="preserve"> – 17,674X</w:t>
      </w:r>
      <w:r w:rsidRPr="00D82953">
        <w:rPr>
          <w:rFonts w:ascii="Arial" w:hAnsi="Arial" w:cs="Arial"/>
          <w:color w:val="000000"/>
          <w:vertAlign w:val="subscript"/>
        </w:rPr>
        <w:t>2</w:t>
      </w:r>
    </w:p>
    <w:p w:rsidR="003E1EFB" w:rsidRPr="00D82953" w:rsidRDefault="003E1EFB" w:rsidP="00FA043B">
      <w:pPr>
        <w:spacing w:line="23" w:lineRule="atLeast"/>
        <w:jc w:val="both"/>
        <w:rPr>
          <w:color w:val="000000"/>
          <w:sz w:val="24"/>
          <w:szCs w:val="24"/>
          <w:vertAlign w:val="subscript"/>
        </w:rPr>
      </w:pPr>
      <w:r w:rsidRPr="00D82953">
        <w:rPr>
          <w:color w:val="000000"/>
          <w:sz w:val="24"/>
          <w:szCs w:val="24"/>
        </w:rPr>
        <w:t>Berdasarkan persamaan regresi yang diperoleh maka dapat disimpulkan sebagai berikut</w:t>
      </w:r>
      <w:r w:rsidRPr="00D82953">
        <w:rPr>
          <w:color w:val="000000"/>
          <w:sz w:val="24"/>
          <w:szCs w:val="24"/>
          <w:vertAlign w:val="subscript"/>
        </w:rPr>
        <w:t>;</w:t>
      </w:r>
    </w:p>
    <w:p w:rsidR="003E1EFB" w:rsidRPr="00D82953" w:rsidRDefault="003E1EFB" w:rsidP="00FA043B">
      <w:pPr>
        <w:pStyle w:val="ListParagraph"/>
        <w:widowControl/>
        <w:numPr>
          <w:ilvl w:val="0"/>
          <w:numId w:val="6"/>
        </w:numPr>
        <w:autoSpaceDE/>
        <w:autoSpaceDN/>
        <w:spacing w:line="23" w:lineRule="atLeast"/>
        <w:rPr>
          <w:color w:val="000000"/>
          <w:sz w:val="24"/>
          <w:szCs w:val="24"/>
        </w:rPr>
      </w:pPr>
      <w:r w:rsidRPr="00D82953">
        <w:rPr>
          <w:color w:val="000000"/>
          <w:sz w:val="24"/>
          <w:szCs w:val="24"/>
        </w:rPr>
        <w:t xml:space="preserve">Konstanta (a) sebesar   artinya tanpa adanya </w:t>
      </w:r>
      <w:r w:rsidRPr="00D82953">
        <w:rPr>
          <w:i/>
          <w:color w:val="000000"/>
          <w:sz w:val="24"/>
          <w:szCs w:val="24"/>
        </w:rPr>
        <w:t xml:space="preserve">Dividend Per share </w:t>
      </w:r>
      <w:r w:rsidRPr="00D82953">
        <w:rPr>
          <w:color w:val="000000"/>
          <w:sz w:val="24"/>
          <w:szCs w:val="24"/>
        </w:rPr>
        <w:t xml:space="preserve">dan </w:t>
      </w:r>
      <w:r w:rsidRPr="00D82953">
        <w:rPr>
          <w:i/>
          <w:color w:val="000000"/>
          <w:sz w:val="24"/>
          <w:szCs w:val="24"/>
        </w:rPr>
        <w:t xml:space="preserve">Debt To Equity Ratio </w:t>
      </w:r>
      <w:r w:rsidRPr="00D82953">
        <w:rPr>
          <w:color w:val="000000"/>
          <w:sz w:val="24"/>
          <w:szCs w:val="24"/>
        </w:rPr>
        <w:t>maka harga saham PT. Harum Energy, Tbk. tetap sebesar Rp. 2.102,691.</w:t>
      </w:r>
    </w:p>
    <w:p w:rsidR="003E1EFB" w:rsidRPr="00D82953" w:rsidRDefault="003E1EFB" w:rsidP="00FA043B">
      <w:pPr>
        <w:pStyle w:val="ListParagraph"/>
        <w:widowControl/>
        <w:numPr>
          <w:ilvl w:val="0"/>
          <w:numId w:val="6"/>
        </w:numPr>
        <w:autoSpaceDE/>
        <w:autoSpaceDN/>
        <w:spacing w:line="23" w:lineRule="atLeast"/>
        <w:ind w:left="357" w:hanging="357"/>
        <w:rPr>
          <w:color w:val="000000"/>
          <w:sz w:val="24"/>
          <w:szCs w:val="24"/>
        </w:rPr>
      </w:pPr>
      <w:r w:rsidRPr="00D82953">
        <w:rPr>
          <w:color w:val="000000"/>
          <w:sz w:val="24"/>
          <w:szCs w:val="24"/>
        </w:rPr>
        <w:lastRenderedPageBreak/>
        <w:t>Koefisien regresi (b</w:t>
      </w:r>
      <w:r w:rsidRPr="00D82953">
        <w:rPr>
          <w:color w:val="000000"/>
          <w:sz w:val="24"/>
          <w:szCs w:val="24"/>
          <w:vertAlign w:val="subscript"/>
        </w:rPr>
        <w:t>1</w:t>
      </w:r>
      <w:r w:rsidRPr="00D82953">
        <w:rPr>
          <w:color w:val="000000"/>
          <w:sz w:val="24"/>
          <w:szCs w:val="24"/>
        </w:rPr>
        <w:t xml:space="preserve">) sebesar 4,338 menunjukkan apabila besarnya </w:t>
      </w:r>
      <w:r w:rsidRPr="00D82953">
        <w:rPr>
          <w:i/>
          <w:color w:val="000000"/>
          <w:sz w:val="24"/>
          <w:szCs w:val="24"/>
        </w:rPr>
        <w:t xml:space="preserve">Dividend Per Share </w:t>
      </w:r>
      <w:r w:rsidRPr="00D82953">
        <w:rPr>
          <w:color w:val="000000"/>
          <w:sz w:val="24"/>
          <w:szCs w:val="24"/>
        </w:rPr>
        <w:t xml:space="preserve">naik sebesar 1%, maka Harga Saham PT. Harum Energy, Tbk. meningkat sebesar Rp.4,338. </w:t>
      </w:r>
    </w:p>
    <w:p w:rsidR="003E1EFB" w:rsidRDefault="003E1EFB" w:rsidP="00FA043B">
      <w:pPr>
        <w:pStyle w:val="ListParagraph"/>
        <w:widowControl/>
        <w:numPr>
          <w:ilvl w:val="0"/>
          <w:numId w:val="6"/>
        </w:numPr>
        <w:autoSpaceDE/>
        <w:autoSpaceDN/>
        <w:spacing w:line="23" w:lineRule="atLeast"/>
        <w:rPr>
          <w:color w:val="000000"/>
          <w:sz w:val="24"/>
          <w:szCs w:val="24"/>
        </w:rPr>
      </w:pPr>
      <w:r w:rsidRPr="00D82953">
        <w:rPr>
          <w:color w:val="000000"/>
          <w:sz w:val="24"/>
          <w:szCs w:val="24"/>
        </w:rPr>
        <w:t xml:space="preserve"> koefisien regresi (b</w:t>
      </w:r>
      <w:r w:rsidRPr="00D82953">
        <w:rPr>
          <w:color w:val="000000"/>
          <w:sz w:val="24"/>
          <w:szCs w:val="24"/>
          <w:vertAlign w:val="subscript"/>
        </w:rPr>
        <w:t>2</w:t>
      </w:r>
      <w:r w:rsidRPr="00D82953">
        <w:rPr>
          <w:color w:val="000000"/>
          <w:sz w:val="24"/>
          <w:szCs w:val="24"/>
        </w:rPr>
        <w:t xml:space="preserve">) sebesar -17,674 menunjukkan apabila besarnya </w:t>
      </w:r>
      <w:r w:rsidRPr="00D82953">
        <w:rPr>
          <w:i/>
          <w:color w:val="000000"/>
          <w:sz w:val="24"/>
          <w:szCs w:val="24"/>
        </w:rPr>
        <w:t xml:space="preserve">Debt To equity Ratio </w:t>
      </w:r>
      <w:r w:rsidRPr="00D82953">
        <w:rPr>
          <w:color w:val="000000"/>
          <w:sz w:val="24"/>
          <w:szCs w:val="24"/>
        </w:rPr>
        <w:t xml:space="preserve">naik sebesar 1%, maka harga saham PT. Harum Energy, Tbk. Akan menurun sebesar Rp. -17,674. </w:t>
      </w:r>
    </w:p>
    <w:p w:rsidR="0092449A" w:rsidRPr="00C03F13" w:rsidRDefault="0092449A" w:rsidP="00FA043B">
      <w:pPr>
        <w:pStyle w:val="ListParagraph"/>
        <w:widowControl/>
        <w:autoSpaceDE/>
        <w:autoSpaceDN/>
        <w:spacing w:line="23" w:lineRule="atLeast"/>
        <w:ind w:left="360" w:firstLine="0"/>
        <w:rPr>
          <w:color w:val="000000"/>
          <w:sz w:val="24"/>
          <w:szCs w:val="24"/>
        </w:rPr>
      </w:pPr>
    </w:p>
    <w:p w:rsidR="003E1EFB" w:rsidRDefault="003E1EFB" w:rsidP="00FA043B">
      <w:pPr>
        <w:pStyle w:val="BodyText"/>
        <w:spacing w:before="276" w:line="23" w:lineRule="atLeast"/>
        <w:jc w:val="both"/>
      </w:pPr>
      <w:r>
        <w:t>Tabel</w:t>
      </w:r>
      <w:r>
        <w:rPr>
          <w:spacing w:val="-3"/>
        </w:rPr>
        <w:t xml:space="preserve"> </w:t>
      </w:r>
      <w:r>
        <w:t>2:</w:t>
      </w:r>
      <w:r>
        <w:rPr>
          <w:spacing w:val="-5"/>
        </w:rPr>
        <w:t xml:space="preserve"> </w:t>
      </w:r>
      <w:r>
        <w:t>Koefisien</w:t>
      </w:r>
      <w:r>
        <w:rPr>
          <w:spacing w:val="-2"/>
        </w:rPr>
        <w:t xml:space="preserve"> </w:t>
      </w:r>
      <w:r>
        <w:t>determinasi</w:t>
      </w:r>
      <w:r>
        <w:rPr>
          <w:spacing w:val="-3"/>
        </w:rPr>
        <w:t xml:space="preserve"> </w:t>
      </w:r>
      <w:r>
        <w:t>dan</w:t>
      </w:r>
      <w:r>
        <w:rPr>
          <w:spacing w:val="-2"/>
        </w:rPr>
        <w:t xml:space="preserve"> </w:t>
      </w:r>
      <w:r>
        <w:t>koefisien</w:t>
      </w:r>
      <w:r>
        <w:rPr>
          <w:spacing w:val="-2"/>
        </w:rPr>
        <w:t xml:space="preserve"> korelasi</w:t>
      </w:r>
    </w:p>
    <w:p w:rsidR="003E1EFB" w:rsidRDefault="003E1EFB" w:rsidP="00FA043B">
      <w:pPr>
        <w:spacing w:before="69" w:line="23" w:lineRule="atLeast"/>
        <w:ind w:left="742" w:right="767"/>
        <w:jc w:val="center"/>
        <w:rPr>
          <w:rFonts w:ascii="Arial"/>
          <w:b/>
          <w:color w:val="000104"/>
          <w:spacing w:val="-2"/>
        </w:rPr>
      </w:pPr>
      <w:r>
        <w:rPr>
          <w:rFonts w:ascii="Arial"/>
          <w:b/>
          <w:color w:val="000104"/>
        </w:rPr>
        <w:t>Model</w:t>
      </w:r>
      <w:r>
        <w:rPr>
          <w:rFonts w:ascii="Arial"/>
          <w:b/>
          <w:color w:val="000104"/>
          <w:spacing w:val="-4"/>
        </w:rPr>
        <w:t xml:space="preserve"> </w:t>
      </w:r>
      <w:r>
        <w:rPr>
          <w:rFonts w:ascii="Arial"/>
          <w:b/>
          <w:color w:val="000104"/>
          <w:spacing w:val="-2"/>
        </w:rPr>
        <w:t>Summary</w:t>
      </w:r>
    </w:p>
    <w:tbl>
      <w:tblPr>
        <w:tblW w:w="0" w:type="auto"/>
        <w:tblInd w:w="555"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1090"/>
        <w:gridCol w:w="1413"/>
        <w:gridCol w:w="1494"/>
        <w:gridCol w:w="2019"/>
        <w:gridCol w:w="2019"/>
      </w:tblGrid>
      <w:tr w:rsidR="003E1EFB" w:rsidRPr="00D82953" w:rsidTr="00193D8A">
        <w:trPr>
          <w:trHeight w:val="552"/>
        </w:trPr>
        <w:tc>
          <w:tcPr>
            <w:tcW w:w="1090" w:type="dxa"/>
            <w:tcBorders>
              <w:top w:val="nil"/>
              <w:left w:val="nil"/>
              <w:right w:val="nil"/>
            </w:tcBorders>
          </w:tcPr>
          <w:p w:rsidR="003E1EFB" w:rsidRPr="00D82953" w:rsidRDefault="003E1EFB" w:rsidP="00FA043B">
            <w:pPr>
              <w:spacing w:line="23" w:lineRule="atLeast"/>
              <w:rPr>
                <w:rFonts w:ascii="Arial" w:eastAsia="Arial MT" w:hAnsi="Arial MT" w:cs="Arial MT"/>
                <w:b/>
                <w:sz w:val="18"/>
                <w:lang w:val="en-US"/>
              </w:rPr>
            </w:pPr>
          </w:p>
          <w:p w:rsidR="003E1EFB" w:rsidRPr="00D82953" w:rsidRDefault="003E1EFB" w:rsidP="00FA043B">
            <w:pPr>
              <w:spacing w:before="11" w:line="23" w:lineRule="atLeast"/>
              <w:rPr>
                <w:rFonts w:ascii="Arial" w:eastAsia="Arial MT" w:hAnsi="Arial MT" w:cs="Arial MT"/>
                <w:b/>
                <w:sz w:val="18"/>
                <w:lang w:val="en-US"/>
              </w:rPr>
            </w:pPr>
          </w:p>
          <w:p w:rsidR="003E1EFB" w:rsidRPr="00D82953" w:rsidRDefault="003E1EFB" w:rsidP="00FA043B">
            <w:pPr>
              <w:spacing w:before="1" w:line="23" w:lineRule="atLeast"/>
              <w:ind w:left="60"/>
              <w:rPr>
                <w:rFonts w:ascii="Arial MT" w:eastAsia="Arial MT" w:hAnsi="Arial MT" w:cs="Arial MT"/>
                <w:sz w:val="18"/>
                <w:lang w:val="en-US"/>
              </w:rPr>
            </w:pPr>
            <w:r w:rsidRPr="00D82953">
              <w:rPr>
                <w:rFonts w:ascii="Arial MT" w:eastAsia="Arial MT" w:hAnsi="Arial MT" w:cs="Arial MT"/>
                <w:color w:val="25495F"/>
                <w:spacing w:val="-2"/>
                <w:sz w:val="18"/>
                <w:lang w:val="en-US"/>
              </w:rPr>
              <w:t>Model</w:t>
            </w:r>
          </w:p>
        </w:tc>
        <w:tc>
          <w:tcPr>
            <w:tcW w:w="1413" w:type="dxa"/>
            <w:tcBorders>
              <w:top w:val="nil"/>
              <w:left w:val="nil"/>
              <w:right w:val="single" w:sz="8" w:space="0" w:color="DFDFDF"/>
            </w:tcBorders>
          </w:tcPr>
          <w:p w:rsidR="003E1EFB" w:rsidRPr="00D82953" w:rsidRDefault="003E1EFB" w:rsidP="00FA043B">
            <w:pPr>
              <w:spacing w:line="23" w:lineRule="atLeast"/>
              <w:rPr>
                <w:rFonts w:ascii="Arial" w:eastAsia="Arial MT" w:hAnsi="Arial MT" w:cs="Arial MT"/>
                <w:b/>
                <w:sz w:val="18"/>
                <w:lang w:val="en-US"/>
              </w:rPr>
            </w:pPr>
          </w:p>
          <w:p w:rsidR="003E1EFB" w:rsidRPr="00D82953" w:rsidRDefault="003E1EFB" w:rsidP="00FA043B">
            <w:pPr>
              <w:spacing w:before="11" w:line="23" w:lineRule="atLeast"/>
              <w:rPr>
                <w:rFonts w:ascii="Arial" w:eastAsia="Arial MT" w:hAnsi="Arial MT" w:cs="Arial MT"/>
                <w:b/>
                <w:sz w:val="18"/>
                <w:lang w:val="en-US"/>
              </w:rPr>
            </w:pPr>
          </w:p>
          <w:p w:rsidR="003E1EFB" w:rsidRPr="00D82953" w:rsidRDefault="003E1EFB" w:rsidP="00FA043B">
            <w:pPr>
              <w:spacing w:before="1" w:line="23" w:lineRule="atLeast"/>
              <w:ind w:right="3"/>
              <w:jc w:val="center"/>
              <w:rPr>
                <w:rFonts w:ascii="Arial MT" w:eastAsia="Arial MT" w:hAnsi="Arial MT" w:cs="Arial MT"/>
                <w:sz w:val="18"/>
                <w:lang w:val="en-US"/>
              </w:rPr>
            </w:pPr>
            <w:r w:rsidRPr="00D82953">
              <w:rPr>
                <w:rFonts w:ascii="Arial MT" w:eastAsia="Arial MT" w:hAnsi="Arial MT" w:cs="Arial MT"/>
                <w:color w:val="25495F"/>
                <w:spacing w:val="-10"/>
                <w:sz w:val="18"/>
                <w:lang w:val="en-US"/>
              </w:rPr>
              <w:t>R</w:t>
            </w:r>
          </w:p>
        </w:tc>
        <w:tc>
          <w:tcPr>
            <w:tcW w:w="1494" w:type="dxa"/>
            <w:tcBorders>
              <w:top w:val="nil"/>
              <w:left w:val="single" w:sz="8" w:space="0" w:color="DFDFDF"/>
              <w:right w:val="single" w:sz="8" w:space="0" w:color="DFDFDF"/>
            </w:tcBorders>
          </w:tcPr>
          <w:p w:rsidR="003E1EFB" w:rsidRPr="00D82953" w:rsidRDefault="003E1EFB" w:rsidP="00FA043B">
            <w:pPr>
              <w:spacing w:line="23" w:lineRule="atLeast"/>
              <w:rPr>
                <w:rFonts w:ascii="Arial" w:eastAsia="Arial MT" w:hAnsi="Arial MT" w:cs="Arial MT"/>
                <w:b/>
                <w:sz w:val="18"/>
                <w:lang w:val="en-US"/>
              </w:rPr>
            </w:pPr>
          </w:p>
          <w:p w:rsidR="003E1EFB" w:rsidRPr="00D82953" w:rsidRDefault="003E1EFB" w:rsidP="00FA043B">
            <w:pPr>
              <w:spacing w:before="11" w:line="23" w:lineRule="atLeast"/>
              <w:rPr>
                <w:rFonts w:ascii="Arial" w:eastAsia="Arial MT" w:hAnsi="Arial MT" w:cs="Arial MT"/>
                <w:b/>
                <w:sz w:val="18"/>
                <w:lang w:val="en-US"/>
              </w:rPr>
            </w:pPr>
          </w:p>
          <w:p w:rsidR="003E1EFB" w:rsidRPr="00D82953" w:rsidRDefault="003E1EFB" w:rsidP="00FA043B">
            <w:pPr>
              <w:spacing w:before="1" w:line="23" w:lineRule="atLeast"/>
              <w:ind w:left="154"/>
              <w:rPr>
                <w:rFonts w:ascii="Arial MT" w:eastAsia="Arial MT" w:hAnsi="Arial MT" w:cs="Arial MT"/>
                <w:sz w:val="18"/>
                <w:lang w:val="en-US"/>
              </w:rPr>
            </w:pPr>
            <w:r w:rsidRPr="00D82953">
              <w:rPr>
                <w:rFonts w:ascii="Arial MT" w:eastAsia="Arial MT" w:hAnsi="Arial MT" w:cs="Arial MT"/>
                <w:color w:val="25495F"/>
                <w:sz w:val="18"/>
                <w:lang w:val="en-US"/>
              </w:rPr>
              <w:t>R</w:t>
            </w:r>
            <w:r w:rsidRPr="00D82953">
              <w:rPr>
                <w:rFonts w:ascii="Arial MT" w:eastAsia="Arial MT" w:hAnsi="Arial MT" w:cs="Arial MT"/>
                <w:color w:val="25495F"/>
                <w:spacing w:val="-2"/>
                <w:sz w:val="18"/>
                <w:lang w:val="en-US"/>
              </w:rPr>
              <w:t xml:space="preserve"> Square</w:t>
            </w:r>
          </w:p>
        </w:tc>
        <w:tc>
          <w:tcPr>
            <w:tcW w:w="2019" w:type="dxa"/>
            <w:tcBorders>
              <w:top w:val="nil"/>
              <w:left w:val="single" w:sz="8" w:space="0" w:color="DFDFDF"/>
              <w:right w:val="single" w:sz="8" w:space="0" w:color="DFDFDF"/>
            </w:tcBorders>
          </w:tcPr>
          <w:p w:rsidR="003E1EFB" w:rsidRPr="00D82953" w:rsidRDefault="003E1EFB" w:rsidP="00FA043B">
            <w:pPr>
              <w:spacing w:line="23" w:lineRule="atLeast"/>
              <w:ind w:left="435" w:right="285" w:hanging="152"/>
              <w:rPr>
                <w:rFonts w:ascii="Arial MT" w:eastAsia="Arial MT" w:hAnsi="Arial MT" w:cs="Arial MT"/>
                <w:sz w:val="18"/>
                <w:lang w:val="en-US"/>
              </w:rPr>
            </w:pPr>
            <w:r w:rsidRPr="00D82953">
              <w:rPr>
                <w:rFonts w:ascii="Arial MT" w:eastAsia="Arial MT" w:hAnsi="Arial MT" w:cs="Arial MT"/>
                <w:color w:val="25495F"/>
                <w:sz w:val="18"/>
                <w:lang w:val="en-US"/>
              </w:rPr>
              <w:t>Adjusted</w:t>
            </w:r>
            <w:r w:rsidRPr="00D82953">
              <w:rPr>
                <w:rFonts w:ascii="Arial MT" w:eastAsia="Arial MT" w:hAnsi="Arial MT" w:cs="Arial MT"/>
                <w:color w:val="25495F"/>
                <w:spacing w:val="-13"/>
                <w:sz w:val="18"/>
                <w:lang w:val="en-US"/>
              </w:rPr>
              <w:t xml:space="preserve"> </w:t>
            </w:r>
            <w:r w:rsidRPr="00D82953">
              <w:rPr>
                <w:rFonts w:ascii="Arial MT" w:eastAsia="Arial MT" w:hAnsi="Arial MT" w:cs="Arial MT"/>
                <w:color w:val="25495F"/>
                <w:sz w:val="18"/>
                <w:lang w:val="en-US"/>
              </w:rPr>
              <w:t xml:space="preserve">R </w:t>
            </w:r>
            <w:r w:rsidRPr="00D82953">
              <w:rPr>
                <w:rFonts w:ascii="Arial MT" w:eastAsia="Arial MT" w:hAnsi="Arial MT" w:cs="Arial MT"/>
                <w:color w:val="25495F"/>
                <w:spacing w:val="-2"/>
                <w:sz w:val="18"/>
                <w:lang w:val="en-US"/>
              </w:rPr>
              <w:t>Square</w:t>
            </w:r>
          </w:p>
        </w:tc>
        <w:tc>
          <w:tcPr>
            <w:tcW w:w="2019" w:type="dxa"/>
            <w:tcBorders>
              <w:top w:val="nil"/>
              <w:left w:val="single" w:sz="8" w:space="0" w:color="DFDFDF"/>
              <w:right w:val="nil"/>
            </w:tcBorders>
          </w:tcPr>
          <w:p w:rsidR="003E1EFB" w:rsidRPr="00D82953" w:rsidRDefault="003E1EFB" w:rsidP="00FA043B">
            <w:pPr>
              <w:spacing w:line="23" w:lineRule="atLeast"/>
              <w:ind w:left="380" w:hanging="286"/>
              <w:rPr>
                <w:rFonts w:ascii="Arial MT" w:eastAsia="Arial MT" w:hAnsi="Arial MT" w:cs="Arial MT"/>
                <w:sz w:val="18"/>
                <w:lang w:val="en-US"/>
              </w:rPr>
            </w:pPr>
            <w:r w:rsidRPr="00D82953">
              <w:rPr>
                <w:rFonts w:ascii="Arial MT" w:eastAsia="Arial MT" w:hAnsi="Arial MT" w:cs="Arial MT"/>
                <w:color w:val="25495F"/>
                <w:sz w:val="18"/>
                <w:lang w:val="en-US"/>
              </w:rPr>
              <w:t>Std.</w:t>
            </w:r>
            <w:r w:rsidRPr="00D82953">
              <w:rPr>
                <w:rFonts w:ascii="Arial MT" w:eastAsia="Arial MT" w:hAnsi="Arial MT" w:cs="Arial MT"/>
                <w:color w:val="25495F"/>
                <w:spacing w:val="-13"/>
                <w:sz w:val="18"/>
                <w:lang w:val="en-US"/>
              </w:rPr>
              <w:t xml:space="preserve"> </w:t>
            </w:r>
            <w:r w:rsidRPr="00D82953">
              <w:rPr>
                <w:rFonts w:ascii="Arial MT" w:eastAsia="Arial MT" w:hAnsi="Arial MT" w:cs="Arial MT"/>
                <w:color w:val="25495F"/>
                <w:sz w:val="18"/>
                <w:lang w:val="en-US"/>
              </w:rPr>
              <w:t>Error</w:t>
            </w:r>
            <w:r w:rsidRPr="00D82953">
              <w:rPr>
                <w:rFonts w:ascii="Arial MT" w:eastAsia="Arial MT" w:hAnsi="Arial MT" w:cs="Arial MT"/>
                <w:color w:val="25495F"/>
                <w:spacing w:val="-12"/>
                <w:sz w:val="18"/>
                <w:lang w:val="en-US"/>
              </w:rPr>
              <w:t xml:space="preserve"> </w:t>
            </w:r>
            <w:r w:rsidRPr="00D82953">
              <w:rPr>
                <w:rFonts w:ascii="Arial MT" w:eastAsia="Arial MT" w:hAnsi="Arial MT" w:cs="Arial MT"/>
                <w:color w:val="25495F"/>
                <w:sz w:val="18"/>
                <w:lang w:val="en-US"/>
              </w:rPr>
              <w:t>of</w:t>
            </w:r>
            <w:r w:rsidRPr="00D82953">
              <w:rPr>
                <w:rFonts w:ascii="Arial MT" w:eastAsia="Arial MT" w:hAnsi="Arial MT" w:cs="Arial MT"/>
                <w:color w:val="25495F"/>
                <w:spacing w:val="-12"/>
                <w:sz w:val="18"/>
                <w:lang w:val="en-US"/>
              </w:rPr>
              <w:t xml:space="preserve"> </w:t>
            </w:r>
            <w:r w:rsidRPr="00D82953">
              <w:rPr>
                <w:rFonts w:ascii="Arial MT" w:eastAsia="Arial MT" w:hAnsi="Arial MT" w:cs="Arial MT"/>
                <w:color w:val="25495F"/>
                <w:sz w:val="18"/>
                <w:lang w:val="en-US"/>
              </w:rPr>
              <w:t xml:space="preserve">the </w:t>
            </w:r>
            <w:r w:rsidRPr="00D82953">
              <w:rPr>
                <w:rFonts w:ascii="Arial MT" w:eastAsia="Arial MT" w:hAnsi="Arial MT" w:cs="Arial MT"/>
                <w:color w:val="25495F"/>
                <w:spacing w:val="-2"/>
                <w:sz w:val="18"/>
                <w:lang w:val="en-US"/>
              </w:rPr>
              <w:t>Estimate</w:t>
            </w:r>
          </w:p>
        </w:tc>
      </w:tr>
      <w:tr w:rsidR="003E1EFB" w:rsidRPr="00D82953" w:rsidTr="00193D8A">
        <w:trPr>
          <w:trHeight w:val="274"/>
        </w:trPr>
        <w:tc>
          <w:tcPr>
            <w:tcW w:w="1090" w:type="dxa"/>
            <w:tcBorders>
              <w:left w:val="nil"/>
              <w:right w:val="nil"/>
            </w:tcBorders>
            <w:shd w:val="clear" w:color="auto" w:fill="DFDFDF"/>
          </w:tcPr>
          <w:p w:rsidR="003E1EFB" w:rsidRPr="00D82953" w:rsidRDefault="003E1EFB" w:rsidP="00FA043B">
            <w:pPr>
              <w:spacing w:before="106" w:line="23" w:lineRule="atLeast"/>
              <w:ind w:left="60"/>
              <w:rPr>
                <w:rFonts w:ascii="Arial MT" w:eastAsia="Arial MT" w:hAnsi="Arial MT" w:cs="Arial MT"/>
                <w:sz w:val="18"/>
                <w:lang w:val="en-US"/>
              </w:rPr>
            </w:pPr>
            <w:r w:rsidRPr="00D82953">
              <w:rPr>
                <w:rFonts w:ascii="Arial MT" w:eastAsia="Arial MT" w:hAnsi="Arial MT" w:cs="Arial MT"/>
                <w:color w:val="25495F"/>
                <w:spacing w:val="-10"/>
                <w:sz w:val="18"/>
                <w:lang w:val="en-US"/>
              </w:rPr>
              <w:t>1</w:t>
            </w:r>
          </w:p>
        </w:tc>
        <w:tc>
          <w:tcPr>
            <w:tcW w:w="1413" w:type="dxa"/>
            <w:tcBorders>
              <w:left w:val="nil"/>
              <w:right w:val="single" w:sz="8" w:space="0" w:color="DFDFDF"/>
            </w:tcBorders>
          </w:tcPr>
          <w:p w:rsidR="003E1EFB" w:rsidRPr="00D82953" w:rsidRDefault="003E1EFB" w:rsidP="00FA043B">
            <w:pPr>
              <w:spacing w:before="102" w:line="23" w:lineRule="atLeast"/>
              <w:ind w:left="542"/>
              <w:rPr>
                <w:rFonts w:ascii="Arial MT" w:eastAsia="Arial MT" w:hAnsi="Arial MT" w:cs="Arial MT"/>
                <w:sz w:val="12"/>
                <w:lang w:val="en-US"/>
              </w:rPr>
            </w:pPr>
            <w:r w:rsidRPr="00D82953">
              <w:rPr>
                <w:rFonts w:ascii="Arial MT" w:eastAsia="Arial MT" w:hAnsi="Arial MT" w:cs="Arial MT"/>
                <w:color w:val="000104"/>
                <w:spacing w:val="-2"/>
                <w:sz w:val="18"/>
                <w:lang w:val="en-US"/>
              </w:rPr>
              <w:t>,289</w:t>
            </w:r>
            <w:r w:rsidRPr="00D82953">
              <w:rPr>
                <w:rFonts w:ascii="Arial MT" w:eastAsia="Arial MT" w:hAnsi="Arial MT" w:cs="Arial MT"/>
                <w:color w:val="000104"/>
                <w:spacing w:val="-2"/>
                <w:position w:val="6"/>
                <w:sz w:val="12"/>
                <w:lang w:val="en-US"/>
              </w:rPr>
              <w:t>a</w:t>
            </w:r>
          </w:p>
        </w:tc>
        <w:tc>
          <w:tcPr>
            <w:tcW w:w="1494" w:type="dxa"/>
            <w:tcBorders>
              <w:left w:val="single" w:sz="8" w:space="0" w:color="DFDFDF"/>
              <w:right w:val="single" w:sz="8" w:space="0" w:color="DFDFDF"/>
            </w:tcBorders>
          </w:tcPr>
          <w:p w:rsidR="003E1EFB" w:rsidRPr="00D82953" w:rsidRDefault="003E1EFB" w:rsidP="00FA043B">
            <w:pPr>
              <w:spacing w:before="106" w:line="23" w:lineRule="atLeast"/>
              <w:ind w:left="661"/>
              <w:rPr>
                <w:rFonts w:ascii="Arial MT" w:eastAsia="Arial MT" w:hAnsi="Arial MT" w:cs="Arial MT"/>
                <w:sz w:val="18"/>
                <w:lang w:val="en-US"/>
              </w:rPr>
            </w:pPr>
            <w:r w:rsidRPr="00D82953">
              <w:rPr>
                <w:rFonts w:ascii="Arial MT" w:eastAsia="Arial MT" w:hAnsi="Arial MT" w:cs="Arial MT"/>
                <w:color w:val="000104"/>
                <w:spacing w:val="-4"/>
                <w:sz w:val="18"/>
                <w:lang w:val="en-US"/>
              </w:rPr>
              <w:t>,084</w:t>
            </w:r>
          </w:p>
        </w:tc>
        <w:tc>
          <w:tcPr>
            <w:tcW w:w="2019" w:type="dxa"/>
            <w:tcBorders>
              <w:left w:val="single" w:sz="8" w:space="0" w:color="DFDFDF"/>
              <w:right w:val="single" w:sz="8" w:space="0" w:color="DFDFDF"/>
            </w:tcBorders>
          </w:tcPr>
          <w:p w:rsidR="003E1EFB" w:rsidRPr="00D82953" w:rsidRDefault="003E1EFB" w:rsidP="00FA043B">
            <w:pPr>
              <w:spacing w:before="106" w:line="23" w:lineRule="atLeast"/>
              <w:ind w:right="56"/>
              <w:jc w:val="right"/>
              <w:rPr>
                <w:rFonts w:ascii="Arial MT" w:eastAsia="Arial MT" w:hAnsi="Arial MT" w:cs="Arial MT"/>
                <w:sz w:val="18"/>
                <w:lang w:val="en-US"/>
              </w:rPr>
            </w:pPr>
            <w:r w:rsidRPr="00D82953">
              <w:rPr>
                <w:rFonts w:ascii="Arial MT" w:eastAsia="Arial MT" w:hAnsi="Arial MT" w:cs="Arial MT"/>
                <w:color w:val="000104"/>
                <w:spacing w:val="-2"/>
                <w:sz w:val="18"/>
                <w:lang w:val="en-US"/>
              </w:rPr>
              <w:t>-</w:t>
            </w:r>
            <w:r w:rsidRPr="00D82953">
              <w:rPr>
                <w:rFonts w:ascii="Arial MT" w:eastAsia="Arial MT" w:hAnsi="Arial MT" w:cs="Arial MT"/>
                <w:color w:val="000104"/>
                <w:spacing w:val="-4"/>
                <w:sz w:val="18"/>
                <w:lang w:val="en-US"/>
              </w:rPr>
              <w:t>,833</w:t>
            </w:r>
          </w:p>
        </w:tc>
        <w:tc>
          <w:tcPr>
            <w:tcW w:w="2019" w:type="dxa"/>
            <w:tcBorders>
              <w:left w:val="single" w:sz="8" w:space="0" w:color="DFDFDF"/>
              <w:right w:val="nil"/>
            </w:tcBorders>
          </w:tcPr>
          <w:p w:rsidR="003E1EFB" w:rsidRPr="00D82953" w:rsidRDefault="003E1EFB" w:rsidP="00FA043B">
            <w:pPr>
              <w:spacing w:before="106" w:line="23" w:lineRule="atLeast"/>
              <w:ind w:left="553"/>
              <w:rPr>
                <w:rFonts w:ascii="Arial MT" w:eastAsia="Arial MT" w:hAnsi="Arial MT" w:cs="Arial MT"/>
                <w:sz w:val="18"/>
                <w:lang w:val="en-US"/>
              </w:rPr>
            </w:pPr>
            <w:r w:rsidRPr="00D82953">
              <w:rPr>
                <w:rFonts w:ascii="Arial MT" w:eastAsia="Arial MT" w:hAnsi="Arial MT" w:cs="Arial MT"/>
                <w:color w:val="000104"/>
                <w:spacing w:val="-2"/>
                <w:sz w:val="18"/>
                <w:lang w:val="en-US"/>
              </w:rPr>
              <w:t>922,08774</w:t>
            </w:r>
          </w:p>
        </w:tc>
      </w:tr>
    </w:tbl>
    <w:p w:rsidR="003E1EFB" w:rsidRDefault="003E1EFB" w:rsidP="00FA043B">
      <w:pPr>
        <w:spacing w:before="118" w:line="23" w:lineRule="atLeast"/>
        <w:rPr>
          <w:rFonts w:ascii="Arial MT"/>
          <w:sz w:val="18"/>
        </w:rPr>
      </w:pPr>
      <w:r>
        <w:rPr>
          <w:rFonts w:ascii="Arial" w:eastAsia="Arial MT" w:hAnsi="Arial MT" w:cs="Arial MT"/>
          <w:sz w:val="6"/>
          <w:lang w:val="en-US"/>
        </w:rPr>
        <w:t xml:space="preserve">         </w:t>
      </w:r>
      <w:r>
        <w:rPr>
          <w:rFonts w:ascii="Arial MT"/>
          <w:color w:val="000104"/>
          <w:sz w:val="18"/>
        </w:rPr>
        <w:t>Predictors:</w:t>
      </w:r>
      <w:r>
        <w:rPr>
          <w:rFonts w:ascii="Arial MT"/>
          <w:color w:val="000104"/>
          <w:spacing w:val="-3"/>
          <w:sz w:val="18"/>
        </w:rPr>
        <w:t xml:space="preserve"> </w:t>
      </w:r>
      <w:r>
        <w:rPr>
          <w:rFonts w:ascii="Arial MT"/>
          <w:color w:val="000104"/>
          <w:sz w:val="18"/>
        </w:rPr>
        <w:t>(Constant),</w:t>
      </w:r>
      <w:r>
        <w:rPr>
          <w:rFonts w:ascii="Arial MT"/>
          <w:color w:val="000104"/>
          <w:spacing w:val="-2"/>
          <w:sz w:val="18"/>
        </w:rPr>
        <w:t xml:space="preserve"> </w:t>
      </w:r>
      <w:r>
        <w:rPr>
          <w:rFonts w:ascii="Arial MT"/>
          <w:color w:val="000104"/>
          <w:sz w:val="18"/>
        </w:rPr>
        <w:t>DPS,</w:t>
      </w:r>
      <w:r>
        <w:rPr>
          <w:rFonts w:ascii="Arial MT"/>
          <w:color w:val="000104"/>
          <w:spacing w:val="-2"/>
          <w:sz w:val="18"/>
        </w:rPr>
        <w:t xml:space="preserve"> </w:t>
      </w:r>
      <w:r>
        <w:rPr>
          <w:rFonts w:ascii="Arial MT"/>
          <w:color w:val="000104"/>
          <w:spacing w:val="-5"/>
          <w:sz w:val="18"/>
        </w:rPr>
        <w:t>DER</w:t>
      </w:r>
    </w:p>
    <w:p w:rsidR="003E1EFB" w:rsidRDefault="003E1EFB" w:rsidP="00FA043B">
      <w:pPr>
        <w:pStyle w:val="BodyText"/>
        <w:spacing w:line="23" w:lineRule="atLeast"/>
        <w:jc w:val="both"/>
        <w:rPr>
          <w:spacing w:val="-2"/>
        </w:rPr>
      </w:pPr>
      <w:r>
        <w:t>Sumber:</w:t>
      </w:r>
      <w:r>
        <w:rPr>
          <w:spacing w:val="-4"/>
        </w:rPr>
        <w:t xml:space="preserve"> </w:t>
      </w:r>
      <w:r>
        <w:t>SPSS,</w:t>
      </w:r>
      <w:r>
        <w:rPr>
          <w:spacing w:val="-1"/>
        </w:rPr>
        <w:t xml:space="preserve"> </w:t>
      </w:r>
      <w:r>
        <w:t xml:space="preserve">data diolah </w:t>
      </w:r>
      <w:r>
        <w:rPr>
          <w:spacing w:val="-2"/>
        </w:rPr>
        <w:t>(2023)</w:t>
      </w:r>
      <w:r w:rsidR="00C03F13">
        <w:rPr>
          <w:spacing w:val="-2"/>
        </w:rPr>
        <w:t>.</w:t>
      </w:r>
    </w:p>
    <w:p w:rsidR="00C03F13" w:rsidRDefault="00C03F13" w:rsidP="00FA043B">
      <w:pPr>
        <w:pStyle w:val="BodyText"/>
        <w:spacing w:line="23" w:lineRule="atLeast"/>
        <w:jc w:val="both"/>
        <w:rPr>
          <w:spacing w:val="-2"/>
        </w:rPr>
      </w:pPr>
    </w:p>
    <w:p w:rsidR="00C03F13" w:rsidRDefault="00C03F13" w:rsidP="00FA043B">
      <w:pPr>
        <w:pStyle w:val="BodyText"/>
        <w:spacing w:line="23" w:lineRule="atLeast"/>
        <w:jc w:val="both"/>
        <w:rPr>
          <w:spacing w:val="-2"/>
        </w:rPr>
      </w:pPr>
    </w:p>
    <w:p w:rsidR="00C03F13" w:rsidRDefault="00C03F13" w:rsidP="00FA043B">
      <w:pPr>
        <w:pStyle w:val="BodyText"/>
        <w:spacing w:line="23" w:lineRule="atLeast"/>
        <w:jc w:val="both"/>
        <w:rPr>
          <w:spacing w:val="-2"/>
        </w:rPr>
      </w:pPr>
    </w:p>
    <w:p w:rsidR="00C03F13" w:rsidRDefault="00C03F13" w:rsidP="00FA043B">
      <w:pPr>
        <w:pStyle w:val="BodyText"/>
        <w:spacing w:line="23" w:lineRule="atLeast"/>
        <w:jc w:val="both"/>
        <w:rPr>
          <w:spacing w:val="-2"/>
        </w:rPr>
      </w:pPr>
    </w:p>
    <w:p w:rsidR="00C03F13" w:rsidRDefault="00C03F13" w:rsidP="00FA043B">
      <w:pPr>
        <w:pStyle w:val="BodyText"/>
        <w:spacing w:line="23" w:lineRule="atLeast"/>
        <w:jc w:val="both"/>
        <w:rPr>
          <w:spacing w:val="-2"/>
        </w:rPr>
      </w:pPr>
    </w:p>
    <w:p w:rsidR="0092449A" w:rsidRDefault="0092449A" w:rsidP="00FA043B">
      <w:pPr>
        <w:pStyle w:val="BodyText"/>
        <w:spacing w:line="23" w:lineRule="atLeast"/>
        <w:jc w:val="both"/>
        <w:rPr>
          <w:spacing w:val="-2"/>
        </w:rPr>
      </w:pPr>
    </w:p>
    <w:p w:rsidR="0092449A" w:rsidRDefault="0092449A" w:rsidP="00FA043B">
      <w:pPr>
        <w:pStyle w:val="BodyText"/>
        <w:spacing w:line="23" w:lineRule="atLeast"/>
        <w:jc w:val="both"/>
        <w:rPr>
          <w:spacing w:val="-2"/>
        </w:rPr>
      </w:pPr>
    </w:p>
    <w:p w:rsidR="003E1EFB" w:rsidRDefault="003E1EFB" w:rsidP="00FA043B">
      <w:pPr>
        <w:tabs>
          <w:tab w:val="left" w:pos="3090"/>
        </w:tabs>
        <w:spacing w:line="23" w:lineRule="atLeast"/>
        <w:rPr>
          <w:rFonts w:ascii="Arial" w:hAnsi="Arial MT" w:cs="Arial MT"/>
          <w:sz w:val="24"/>
          <w:szCs w:val="24"/>
          <w:lang w:val="en-US"/>
        </w:rPr>
      </w:pPr>
    </w:p>
    <w:p w:rsidR="00C03F13" w:rsidRDefault="003E1EFB" w:rsidP="00FA043B">
      <w:pPr>
        <w:spacing w:line="23" w:lineRule="atLeast"/>
        <w:ind w:firstLine="720"/>
        <w:jc w:val="both"/>
        <w:rPr>
          <w:color w:val="000000"/>
          <w:sz w:val="24"/>
          <w:szCs w:val="24"/>
        </w:rPr>
      </w:pPr>
      <w:r w:rsidRPr="00D82953">
        <w:rPr>
          <w:color w:val="000000"/>
          <w:sz w:val="24"/>
          <w:szCs w:val="24"/>
        </w:rPr>
        <w:t>Berdasarkan tabel 2 nilai koefisien determinasi (R</w:t>
      </w:r>
      <w:r w:rsidRPr="00D82953">
        <w:rPr>
          <w:color w:val="000000"/>
          <w:sz w:val="24"/>
          <w:szCs w:val="24"/>
          <w:vertAlign w:val="superscript"/>
        </w:rPr>
        <w:t>2</w:t>
      </w:r>
      <w:r w:rsidRPr="00D82953">
        <w:rPr>
          <w:color w:val="000000"/>
          <w:sz w:val="24"/>
          <w:szCs w:val="24"/>
        </w:rPr>
        <w:t xml:space="preserve">) = 0,084 dapat diartikan bahwa variasi naik turunnya Harga Saham PT. Harum Energy, Tbk. ditentukan oleh </w:t>
      </w:r>
      <w:r w:rsidRPr="00D82953">
        <w:rPr>
          <w:i/>
          <w:color w:val="000000"/>
          <w:sz w:val="24"/>
          <w:szCs w:val="24"/>
        </w:rPr>
        <w:t xml:space="preserve">Dividend Per Share </w:t>
      </w:r>
      <w:r w:rsidRPr="00D82953">
        <w:rPr>
          <w:color w:val="000000"/>
          <w:sz w:val="24"/>
          <w:szCs w:val="24"/>
        </w:rPr>
        <w:t xml:space="preserve">dan </w:t>
      </w:r>
      <w:r w:rsidRPr="00D82953">
        <w:rPr>
          <w:i/>
          <w:color w:val="000000"/>
          <w:sz w:val="24"/>
          <w:szCs w:val="24"/>
        </w:rPr>
        <w:t xml:space="preserve">Debt To Equity Ratio </w:t>
      </w:r>
      <w:r w:rsidRPr="00D82953">
        <w:rPr>
          <w:color w:val="000000"/>
          <w:sz w:val="24"/>
          <w:szCs w:val="24"/>
        </w:rPr>
        <w:t>sebesar 8,4% sedangkan sisanya 91,6% dipengaruhi oleh faktor lain yang tidak dijelaskan dalam penelitian ini.</w:t>
      </w:r>
    </w:p>
    <w:p w:rsidR="003E1EFB" w:rsidRPr="003E1EFB" w:rsidRDefault="003E1EFB" w:rsidP="00FA043B">
      <w:pPr>
        <w:spacing w:line="23" w:lineRule="atLeast"/>
        <w:ind w:firstLine="720"/>
        <w:jc w:val="both"/>
        <w:rPr>
          <w:color w:val="000000"/>
          <w:sz w:val="24"/>
          <w:szCs w:val="24"/>
        </w:rPr>
      </w:pPr>
      <w:r w:rsidRPr="00D82953">
        <w:rPr>
          <w:color w:val="000000"/>
          <w:sz w:val="24"/>
          <w:szCs w:val="24"/>
        </w:rPr>
        <w:t xml:space="preserve">Nilai koefisien korelasi menghasilkan r sebesar 0,289. Dimana pada tabel interval korelasi 0,289 berada pada kisaran angka 0,200 – 0,399 yang menunjukkan tingkat hubungan yang rendah sehingga dapat disimpulkan bahwa variabel </w:t>
      </w:r>
      <w:r w:rsidRPr="00D82953">
        <w:rPr>
          <w:i/>
          <w:color w:val="000000"/>
          <w:sz w:val="24"/>
          <w:szCs w:val="24"/>
        </w:rPr>
        <w:t>Dividend Per Share</w:t>
      </w:r>
      <w:r w:rsidRPr="00D82953">
        <w:rPr>
          <w:color w:val="000000"/>
          <w:sz w:val="24"/>
          <w:szCs w:val="24"/>
        </w:rPr>
        <w:t xml:space="preserve"> dan </w:t>
      </w:r>
      <w:r w:rsidRPr="00D82953">
        <w:rPr>
          <w:i/>
          <w:color w:val="000000"/>
          <w:sz w:val="24"/>
          <w:szCs w:val="24"/>
        </w:rPr>
        <w:t>Debt To Equity Ratio</w:t>
      </w:r>
      <w:r w:rsidRPr="00D82953">
        <w:rPr>
          <w:color w:val="000000"/>
          <w:sz w:val="24"/>
          <w:szCs w:val="24"/>
        </w:rPr>
        <w:t xml:space="preserve"> tidak memiliki hubungan yang kuat terhadap Harga saham pada PT. Harum Energy, Tbk.</w:t>
      </w:r>
    </w:p>
    <w:p w:rsidR="003E1EFB" w:rsidRDefault="003E1EFB" w:rsidP="00FA043B">
      <w:pPr>
        <w:pStyle w:val="BodyText"/>
        <w:spacing w:line="23" w:lineRule="atLeast"/>
        <w:ind w:left="0" w:right="131"/>
        <w:jc w:val="both"/>
      </w:pPr>
      <w:r>
        <w:t xml:space="preserve">Berdasarkan hasil olah data pada tabel 1, maka diperoleh analisis uji t sebagai </w:t>
      </w:r>
      <w:r>
        <w:rPr>
          <w:spacing w:val="-2"/>
        </w:rPr>
        <w:t>berikut:</w:t>
      </w:r>
    </w:p>
    <w:p w:rsidR="003E1EFB" w:rsidRPr="0047739C" w:rsidRDefault="003E1EFB" w:rsidP="00FA043B">
      <w:pPr>
        <w:pStyle w:val="ListParagraph"/>
        <w:numPr>
          <w:ilvl w:val="0"/>
          <w:numId w:val="2"/>
        </w:numPr>
        <w:tabs>
          <w:tab w:val="left" w:pos="526"/>
          <w:tab w:val="left" w:pos="528"/>
        </w:tabs>
        <w:spacing w:line="23" w:lineRule="atLeast"/>
        <w:ind w:right="115"/>
        <w:jc w:val="both"/>
        <w:rPr>
          <w:sz w:val="24"/>
        </w:rPr>
      </w:pPr>
      <w:r w:rsidRPr="0047739C">
        <w:rPr>
          <w:rFonts w:ascii="Arial" w:hAnsi="Arial" w:cs="Arial"/>
          <w:sz w:val="24"/>
          <w:szCs w:val="24"/>
        </w:rPr>
        <w:t xml:space="preserve"> </w:t>
      </w:r>
      <w:r>
        <w:rPr>
          <w:sz w:val="24"/>
          <w:szCs w:val="24"/>
        </w:rPr>
        <w:t xml:space="preserve">Untuk variabel </w:t>
      </w:r>
      <w:r w:rsidRPr="0047739C">
        <w:rPr>
          <w:i/>
          <w:sz w:val="24"/>
          <w:szCs w:val="24"/>
        </w:rPr>
        <w:t>Dividend Per Share</w:t>
      </w:r>
      <w:r w:rsidRPr="0047739C">
        <w:rPr>
          <w:sz w:val="24"/>
          <w:szCs w:val="24"/>
        </w:rPr>
        <w:t xml:space="preserve"> t</w:t>
      </w:r>
      <w:r w:rsidRPr="0047739C">
        <w:rPr>
          <w:sz w:val="24"/>
          <w:szCs w:val="24"/>
          <w:vertAlign w:val="subscript"/>
        </w:rPr>
        <w:t xml:space="preserve">hitung </w:t>
      </w:r>
      <w:r w:rsidRPr="0047739C">
        <w:rPr>
          <w:sz w:val="24"/>
          <w:szCs w:val="24"/>
        </w:rPr>
        <w:t>= 0,260 &lt; t</w:t>
      </w:r>
      <w:r w:rsidRPr="0047739C">
        <w:rPr>
          <w:sz w:val="24"/>
          <w:szCs w:val="24"/>
          <w:vertAlign w:val="subscript"/>
        </w:rPr>
        <w:t xml:space="preserve">tabel </w:t>
      </w:r>
      <w:r w:rsidRPr="0047739C">
        <w:rPr>
          <w:sz w:val="24"/>
          <w:szCs w:val="24"/>
        </w:rPr>
        <w:t>= 2,920 atau berada pada daerah terima H</w:t>
      </w:r>
      <w:r w:rsidRPr="0047739C">
        <w:rPr>
          <w:sz w:val="24"/>
          <w:szCs w:val="24"/>
          <w:vertAlign w:val="subscript"/>
        </w:rPr>
        <w:t xml:space="preserve">0 </w:t>
      </w:r>
      <w:r w:rsidRPr="0047739C">
        <w:rPr>
          <w:sz w:val="24"/>
          <w:szCs w:val="24"/>
        </w:rPr>
        <w:t>dan tolak H</w:t>
      </w:r>
      <w:r w:rsidRPr="0047739C">
        <w:rPr>
          <w:sz w:val="24"/>
          <w:szCs w:val="24"/>
          <w:vertAlign w:val="subscript"/>
        </w:rPr>
        <w:t>2</w:t>
      </w:r>
      <w:r w:rsidRPr="0047739C">
        <w:rPr>
          <w:sz w:val="24"/>
          <w:szCs w:val="24"/>
        </w:rPr>
        <w:t xml:space="preserve"> dengan nilai signifikansi 0,819 sehingga dapat disimpulkan bahwa secara parsial variabel </w:t>
      </w:r>
      <w:r w:rsidRPr="0047739C">
        <w:rPr>
          <w:i/>
          <w:sz w:val="24"/>
          <w:szCs w:val="24"/>
        </w:rPr>
        <w:t xml:space="preserve">Dividend Per Share </w:t>
      </w:r>
      <w:r w:rsidRPr="0047739C">
        <w:rPr>
          <w:sz w:val="24"/>
          <w:szCs w:val="24"/>
        </w:rPr>
        <w:t>berpengaruh positif tidak signifikan terhadap harga saham pada PT. Harum Energy, Tbk.</w:t>
      </w:r>
    </w:p>
    <w:p w:rsidR="003E1EFB" w:rsidRPr="003E1EFB" w:rsidRDefault="003E1EFB" w:rsidP="00FA043B">
      <w:pPr>
        <w:pStyle w:val="ListParagraph"/>
        <w:numPr>
          <w:ilvl w:val="0"/>
          <w:numId w:val="2"/>
        </w:numPr>
        <w:tabs>
          <w:tab w:val="left" w:pos="526"/>
          <w:tab w:val="left" w:pos="528"/>
        </w:tabs>
        <w:spacing w:line="23" w:lineRule="atLeast"/>
        <w:ind w:right="115"/>
        <w:jc w:val="both"/>
        <w:rPr>
          <w:sz w:val="24"/>
        </w:rPr>
      </w:pPr>
      <w:r>
        <w:rPr>
          <w:sz w:val="24"/>
          <w:szCs w:val="24"/>
        </w:rPr>
        <w:t xml:space="preserve">Untuk variabel </w:t>
      </w:r>
      <w:r w:rsidRPr="0047739C">
        <w:rPr>
          <w:i/>
          <w:sz w:val="24"/>
          <w:szCs w:val="24"/>
        </w:rPr>
        <w:t>Debt To Equity Ratio</w:t>
      </w:r>
      <w:r w:rsidRPr="0047739C">
        <w:rPr>
          <w:sz w:val="24"/>
          <w:szCs w:val="24"/>
        </w:rPr>
        <w:t xml:space="preserve"> yaitu t</w:t>
      </w:r>
      <w:r w:rsidRPr="0047739C">
        <w:rPr>
          <w:sz w:val="24"/>
          <w:szCs w:val="24"/>
          <w:vertAlign w:val="subscript"/>
        </w:rPr>
        <w:t xml:space="preserve">hitung </w:t>
      </w:r>
      <w:r w:rsidRPr="0047739C">
        <w:rPr>
          <w:sz w:val="24"/>
          <w:szCs w:val="24"/>
        </w:rPr>
        <w:t>= - 0,395 &lt; t</w:t>
      </w:r>
      <w:r w:rsidRPr="0047739C">
        <w:rPr>
          <w:sz w:val="24"/>
          <w:szCs w:val="24"/>
          <w:vertAlign w:val="subscript"/>
        </w:rPr>
        <w:t xml:space="preserve">tabel </w:t>
      </w:r>
      <w:r w:rsidRPr="0047739C">
        <w:rPr>
          <w:sz w:val="24"/>
          <w:szCs w:val="24"/>
        </w:rPr>
        <w:t>= - 4,303 atau berada pada daerah terima H</w:t>
      </w:r>
      <w:r w:rsidRPr="0047739C">
        <w:rPr>
          <w:sz w:val="24"/>
          <w:szCs w:val="24"/>
          <w:vertAlign w:val="subscript"/>
        </w:rPr>
        <w:t>0</w:t>
      </w:r>
      <w:r w:rsidRPr="0047739C">
        <w:rPr>
          <w:sz w:val="24"/>
          <w:szCs w:val="24"/>
        </w:rPr>
        <w:t xml:space="preserve"> dan tolak H</w:t>
      </w:r>
      <w:r w:rsidRPr="0047739C">
        <w:rPr>
          <w:sz w:val="24"/>
          <w:szCs w:val="24"/>
          <w:vertAlign w:val="subscript"/>
        </w:rPr>
        <w:t xml:space="preserve">3 </w:t>
      </w:r>
      <w:r w:rsidRPr="0047739C">
        <w:rPr>
          <w:sz w:val="24"/>
          <w:szCs w:val="24"/>
        </w:rPr>
        <w:t xml:space="preserve">dengan nilai signifikansi 0,731 sehingga dapat disimpulkan bahwa secara parsial variabel </w:t>
      </w:r>
      <w:r w:rsidRPr="0047739C">
        <w:rPr>
          <w:i/>
          <w:sz w:val="24"/>
          <w:szCs w:val="24"/>
        </w:rPr>
        <w:t xml:space="preserve">Debt To Equity Ratio </w:t>
      </w:r>
      <w:r w:rsidRPr="0047739C">
        <w:rPr>
          <w:sz w:val="24"/>
          <w:szCs w:val="24"/>
        </w:rPr>
        <w:t>berpengaruh tidak signifikan terhadap harga saham pada PT. Harum Energy, Tbk.</w:t>
      </w:r>
    </w:p>
    <w:p w:rsidR="003E1EFB" w:rsidRDefault="003E1EFB" w:rsidP="00FA043B">
      <w:pPr>
        <w:pStyle w:val="BodyText"/>
        <w:spacing w:line="23" w:lineRule="atLeast"/>
        <w:ind w:left="0"/>
      </w:pPr>
    </w:p>
    <w:p w:rsidR="003E1EFB" w:rsidRDefault="003E1EFB" w:rsidP="00FA043B">
      <w:pPr>
        <w:pStyle w:val="BodyText"/>
        <w:spacing w:before="1" w:line="23" w:lineRule="atLeast"/>
        <w:ind w:left="168"/>
        <w:jc w:val="both"/>
      </w:pPr>
      <w:r>
        <w:t>Tabel 3:</w:t>
      </w:r>
      <w:r>
        <w:rPr>
          <w:spacing w:val="-7"/>
        </w:rPr>
        <w:t xml:space="preserve"> </w:t>
      </w:r>
      <w:r>
        <w:t>Uji</w:t>
      </w:r>
      <w:r>
        <w:rPr>
          <w:spacing w:val="5"/>
        </w:rPr>
        <w:t xml:space="preserve"> </w:t>
      </w:r>
      <w:r>
        <w:rPr>
          <w:spacing w:val="-10"/>
        </w:rPr>
        <w:t>F</w:t>
      </w:r>
    </w:p>
    <w:p w:rsidR="003E1EFB" w:rsidRDefault="003E1EFB" w:rsidP="00FA043B">
      <w:pPr>
        <w:pStyle w:val="BodyText"/>
        <w:spacing w:before="81" w:line="23" w:lineRule="atLeast"/>
        <w:ind w:left="0"/>
      </w:pPr>
    </w:p>
    <w:p w:rsidR="003E1EFB" w:rsidRDefault="003E1EFB" w:rsidP="00FA043B">
      <w:pPr>
        <w:spacing w:after="4" w:line="23" w:lineRule="atLeast"/>
        <w:ind w:left="742" w:right="818"/>
        <w:jc w:val="center"/>
        <w:rPr>
          <w:rFonts w:ascii="Arial"/>
          <w:b/>
          <w:color w:val="000104"/>
          <w:spacing w:val="-2"/>
        </w:rPr>
      </w:pPr>
      <w:r>
        <w:rPr>
          <w:rFonts w:ascii="Arial"/>
          <w:b/>
          <w:color w:val="000104"/>
          <w:spacing w:val="-2"/>
        </w:rPr>
        <w:t>ANOVA</w:t>
      </w:r>
      <w:r>
        <w:rPr>
          <w:rFonts w:ascii="Arial"/>
          <w:b/>
          <w:color w:val="000104"/>
          <w:spacing w:val="-2"/>
          <w:vertAlign w:val="superscript"/>
        </w:rPr>
        <w:t xml:space="preserve">a </w:t>
      </w:r>
    </w:p>
    <w:tbl>
      <w:tblPr>
        <w:tblW w:w="0" w:type="auto"/>
        <w:tblInd w:w="555"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655"/>
        <w:gridCol w:w="1149"/>
        <w:gridCol w:w="1312"/>
        <w:gridCol w:w="915"/>
        <w:gridCol w:w="1259"/>
        <w:gridCol w:w="915"/>
        <w:gridCol w:w="915"/>
      </w:tblGrid>
      <w:tr w:rsidR="003E1EFB" w:rsidRPr="00A77C53" w:rsidTr="00C03F13">
        <w:trPr>
          <w:trHeight w:val="431"/>
        </w:trPr>
        <w:tc>
          <w:tcPr>
            <w:tcW w:w="655" w:type="dxa"/>
            <w:tcBorders>
              <w:top w:val="nil"/>
              <w:left w:val="nil"/>
              <w:right w:val="nil"/>
            </w:tcBorders>
          </w:tcPr>
          <w:p w:rsidR="003E1EFB" w:rsidRPr="00A77C53" w:rsidRDefault="003E1EFB" w:rsidP="00FA043B">
            <w:pPr>
              <w:spacing w:before="106" w:line="23" w:lineRule="atLeast"/>
              <w:ind w:left="60"/>
              <w:rPr>
                <w:rFonts w:ascii="Arial MT" w:eastAsia="Arial MT" w:hAnsi="Arial MT" w:cs="Arial MT"/>
                <w:sz w:val="18"/>
                <w:lang w:val="en-US"/>
              </w:rPr>
            </w:pPr>
            <w:r w:rsidRPr="00A77C53">
              <w:rPr>
                <w:rFonts w:ascii="Arial MT" w:eastAsia="Arial MT" w:hAnsi="Arial MT" w:cs="Arial MT"/>
                <w:color w:val="25495F"/>
                <w:spacing w:val="-2"/>
                <w:sz w:val="18"/>
                <w:lang w:val="en-US"/>
              </w:rPr>
              <w:t>Model</w:t>
            </w:r>
          </w:p>
        </w:tc>
        <w:tc>
          <w:tcPr>
            <w:tcW w:w="1149" w:type="dxa"/>
            <w:tcBorders>
              <w:top w:val="nil"/>
              <w:left w:val="nil"/>
              <w:right w:val="nil"/>
            </w:tcBorders>
          </w:tcPr>
          <w:p w:rsidR="003E1EFB" w:rsidRPr="00A77C53" w:rsidRDefault="003E1EFB" w:rsidP="00FA043B">
            <w:pPr>
              <w:spacing w:line="23" w:lineRule="atLeast"/>
              <w:rPr>
                <w:rFonts w:eastAsia="Arial MT" w:hAnsi="Arial MT" w:cs="Arial MT"/>
                <w:sz w:val="18"/>
                <w:lang w:val="en-US"/>
              </w:rPr>
            </w:pPr>
          </w:p>
        </w:tc>
        <w:tc>
          <w:tcPr>
            <w:tcW w:w="1312" w:type="dxa"/>
            <w:tcBorders>
              <w:top w:val="nil"/>
              <w:left w:val="nil"/>
              <w:right w:val="single" w:sz="8" w:space="0" w:color="DFDFDF"/>
            </w:tcBorders>
          </w:tcPr>
          <w:p w:rsidR="003E1EFB" w:rsidRPr="00A77C53" w:rsidRDefault="003E1EFB" w:rsidP="00FA043B">
            <w:pPr>
              <w:spacing w:before="106" w:line="23" w:lineRule="atLeast"/>
              <w:ind w:right="86"/>
              <w:jc w:val="right"/>
              <w:rPr>
                <w:rFonts w:ascii="Arial MT" w:eastAsia="Arial MT" w:hAnsi="Arial MT" w:cs="Arial MT"/>
                <w:sz w:val="18"/>
                <w:lang w:val="en-US"/>
              </w:rPr>
            </w:pPr>
            <w:r w:rsidRPr="00A77C53">
              <w:rPr>
                <w:rFonts w:ascii="Arial MT" w:eastAsia="Arial MT" w:hAnsi="Arial MT" w:cs="Arial MT"/>
                <w:color w:val="25495F"/>
                <w:sz w:val="18"/>
                <w:lang w:val="en-US"/>
              </w:rPr>
              <w:t>Sum of</w:t>
            </w:r>
            <w:r w:rsidRPr="00A77C53">
              <w:rPr>
                <w:rFonts w:ascii="Arial MT" w:eastAsia="Arial MT" w:hAnsi="Arial MT" w:cs="Arial MT"/>
                <w:color w:val="25495F"/>
                <w:spacing w:val="-2"/>
                <w:sz w:val="18"/>
                <w:lang w:val="en-US"/>
              </w:rPr>
              <w:t xml:space="preserve"> Squares</w:t>
            </w:r>
          </w:p>
        </w:tc>
        <w:tc>
          <w:tcPr>
            <w:tcW w:w="915" w:type="dxa"/>
            <w:tcBorders>
              <w:top w:val="nil"/>
              <w:left w:val="single" w:sz="8" w:space="0" w:color="DFDFDF"/>
              <w:right w:val="single" w:sz="8" w:space="0" w:color="DFDFDF"/>
            </w:tcBorders>
          </w:tcPr>
          <w:p w:rsidR="003E1EFB" w:rsidRPr="00A77C53" w:rsidRDefault="003E1EFB" w:rsidP="00FA043B">
            <w:pPr>
              <w:spacing w:before="106" w:line="23" w:lineRule="atLeast"/>
              <w:ind w:left="3" w:right="3"/>
              <w:jc w:val="center"/>
              <w:rPr>
                <w:rFonts w:ascii="Arial MT" w:eastAsia="Arial MT" w:hAnsi="Arial MT" w:cs="Arial MT"/>
                <w:sz w:val="18"/>
                <w:lang w:val="en-US"/>
              </w:rPr>
            </w:pPr>
            <w:r w:rsidRPr="00A77C53">
              <w:rPr>
                <w:rFonts w:ascii="Arial MT" w:eastAsia="Arial MT" w:hAnsi="Arial MT" w:cs="Arial MT"/>
                <w:color w:val="25495F"/>
                <w:spacing w:val="-5"/>
                <w:sz w:val="18"/>
                <w:lang w:val="en-US"/>
              </w:rPr>
              <w:t>df</w:t>
            </w:r>
          </w:p>
        </w:tc>
        <w:tc>
          <w:tcPr>
            <w:tcW w:w="1259" w:type="dxa"/>
            <w:tcBorders>
              <w:top w:val="nil"/>
              <w:left w:val="single" w:sz="8" w:space="0" w:color="DFDFDF"/>
              <w:right w:val="single" w:sz="8" w:space="0" w:color="DFDFDF"/>
            </w:tcBorders>
          </w:tcPr>
          <w:p w:rsidR="003E1EFB" w:rsidRPr="00A77C53" w:rsidRDefault="003E1EFB" w:rsidP="00FA043B">
            <w:pPr>
              <w:spacing w:before="106" w:line="23" w:lineRule="atLeast"/>
              <w:ind w:left="155"/>
              <w:rPr>
                <w:rFonts w:ascii="Arial MT" w:eastAsia="Arial MT" w:hAnsi="Arial MT" w:cs="Arial MT"/>
                <w:sz w:val="18"/>
                <w:lang w:val="en-US"/>
              </w:rPr>
            </w:pPr>
            <w:r w:rsidRPr="00A77C53">
              <w:rPr>
                <w:rFonts w:ascii="Arial MT" w:eastAsia="Arial MT" w:hAnsi="Arial MT" w:cs="Arial MT"/>
                <w:color w:val="25495F"/>
                <w:sz w:val="18"/>
                <w:lang w:val="en-US"/>
              </w:rPr>
              <w:t>Mean</w:t>
            </w:r>
            <w:r w:rsidRPr="00A77C53">
              <w:rPr>
                <w:rFonts w:ascii="Arial MT" w:eastAsia="Arial MT" w:hAnsi="Arial MT" w:cs="Arial MT"/>
                <w:color w:val="25495F"/>
                <w:spacing w:val="-11"/>
                <w:sz w:val="18"/>
                <w:lang w:val="en-US"/>
              </w:rPr>
              <w:t xml:space="preserve"> </w:t>
            </w:r>
            <w:r w:rsidRPr="00A77C53">
              <w:rPr>
                <w:rFonts w:ascii="Arial MT" w:eastAsia="Arial MT" w:hAnsi="Arial MT" w:cs="Arial MT"/>
                <w:color w:val="25495F"/>
                <w:spacing w:val="-2"/>
                <w:sz w:val="18"/>
                <w:lang w:val="en-US"/>
              </w:rPr>
              <w:t>Square</w:t>
            </w:r>
          </w:p>
        </w:tc>
        <w:tc>
          <w:tcPr>
            <w:tcW w:w="915" w:type="dxa"/>
            <w:tcBorders>
              <w:top w:val="nil"/>
              <w:left w:val="single" w:sz="8" w:space="0" w:color="DFDFDF"/>
              <w:right w:val="single" w:sz="8" w:space="0" w:color="DFDFDF"/>
            </w:tcBorders>
          </w:tcPr>
          <w:p w:rsidR="003E1EFB" w:rsidRPr="00A77C53" w:rsidRDefault="003E1EFB" w:rsidP="00FA043B">
            <w:pPr>
              <w:spacing w:before="106" w:line="23" w:lineRule="atLeast"/>
              <w:ind w:left="3" w:right="3"/>
              <w:jc w:val="center"/>
              <w:rPr>
                <w:rFonts w:ascii="Arial MT" w:eastAsia="Arial MT" w:hAnsi="Arial MT" w:cs="Arial MT"/>
                <w:sz w:val="18"/>
                <w:lang w:val="en-US"/>
              </w:rPr>
            </w:pPr>
            <w:r w:rsidRPr="00A77C53">
              <w:rPr>
                <w:rFonts w:ascii="Arial MT" w:eastAsia="Arial MT" w:hAnsi="Arial MT" w:cs="Arial MT"/>
                <w:color w:val="25495F"/>
                <w:spacing w:val="-10"/>
                <w:sz w:val="18"/>
                <w:lang w:val="en-US"/>
              </w:rPr>
              <w:t>F</w:t>
            </w:r>
          </w:p>
        </w:tc>
        <w:tc>
          <w:tcPr>
            <w:tcW w:w="915" w:type="dxa"/>
            <w:tcBorders>
              <w:top w:val="nil"/>
              <w:left w:val="single" w:sz="8" w:space="0" w:color="DFDFDF"/>
              <w:right w:val="nil"/>
            </w:tcBorders>
          </w:tcPr>
          <w:p w:rsidR="003E1EFB" w:rsidRPr="00A77C53" w:rsidRDefault="003E1EFB" w:rsidP="00FA043B">
            <w:pPr>
              <w:spacing w:before="106" w:line="23" w:lineRule="atLeast"/>
              <w:ind w:left="1"/>
              <w:jc w:val="center"/>
              <w:rPr>
                <w:rFonts w:ascii="Arial MT" w:eastAsia="Arial MT" w:hAnsi="Arial MT" w:cs="Arial MT"/>
                <w:sz w:val="18"/>
                <w:lang w:val="en-US"/>
              </w:rPr>
            </w:pPr>
            <w:r w:rsidRPr="00A77C53">
              <w:rPr>
                <w:rFonts w:ascii="Arial MT" w:eastAsia="Arial MT" w:hAnsi="Arial MT" w:cs="Arial MT"/>
                <w:color w:val="25495F"/>
                <w:spacing w:val="-4"/>
                <w:sz w:val="18"/>
                <w:lang w:val="en-US"/>
              </w:rPr>
              <w:t>Sig.</w:t>
            </w:r>
          </w:p>
        </w:tc>
      </w:tr>
      <w:tr w:rsidR="003E1EFB" w:rsidRPr="00A77C53" w:rsidTr="00C03F13">
        <w:trPr>
          <w:trHeight w:val="427"/>
        </w:trPr>
        <w:tc>
          <w:tcPr>
            <w:tcW w:w="655" w:type="dxa"/>
            <w:vMerge w:val="restart"/>
            <w:tcBorders>
              <w:left w:val="nil"/>
              <w:right w:val="nil"/>
            </w:tcBorders>
            <w:shd w:val="clear" w:color="auto" w:fill="DFDFDF"/>
          </w:tcPr>
          <w:p w:rsidR="003E1EFB" w:rsidRPr="00A77C53" w:rsidRDefault="003E1EFB" w:rsidP="00FA043B">
            <w:pPr>
              <w:spacing w:before="106" w:line="23" w:lineRule="atLeast"/>
              <w:ind w:left="60"/>
              <w:rPr>
                <w:rFonts w:ascii="Arial MT" w:eastAsia="Arial MT" w:hAnsi="Arial MT" w:cs="Arial MT"/>
                <w:sz w:val="18"/>
                <w:lang w:val="en-US"/>
              </w:rPr>
            </w:pPr>
            <w:r w:rsidRPr="00A77C53">
              <w:rPr>
                <w:rFonts w:ascii="Arial MT" w:eastAsia="Arial MT" w:hAnsi="Arial MT" w:cs="Arial MT"/>
                <w:color w:val="25495F"/>
                <w:spacing w:val="-10"/>
                <w:sz w:val="18"/>
                <w:lang w:val="en-US"/>
              </w:rPr>
              <w:t>1</w:t>
            </w:r>
          </w:p>
        </w:tc>
        <w:tc>
          <w:tcPr>
            <w:tcW w:w="1149" w:type="dxa"/>
            <w:tcBorders>
              <w:left w:val="nil"/>
              <w:bottom w:val="single" w:sz="8" w:space="0" w:color="ADADAD"/>
              <w:right w:val="nil"/>
            </w:tcBorders>
            <w:shd w:val="clear" w:color="auto" w:fill="DFDFDF"/>
          </w:tcPr>
          <w:p w:rsidR="003E1EFB" w:rsidRPr="00A77C53" w:rsidRDefault="003E1EFB" w:rsidP="00FA043B">
            <w:pPr>
              <w:spacing w:before="106" w:line="23" w:lineRule="atLeast"/>
              <w:ind w:left="59"/>
              <w:rPr>
                <w:rFonts w:ascii="Arial MT" w:eastAsia="Arial MT" w:hAnsi="Arial MT" w:cs="Arial MT"/>
                <w:sz w:val="18"/>
                <w:lang w:val="en-US"/>
              </w:rPr>
            </w:pPr>
            <w:r w:rsidRPr="00A77C53">
              <w:rPr>
                <w:rFonts w:ascii="Arial MT" w:eastAsia="Arial MT" w:hAnsi="Arial MT" w:cs="Arial MT"/>
                <w:color w:val="25495F"/>
                <w:spacing w:val="-2"/>
                <w:sz w:val="18"/>
                <w:lang w:val="en-US"/>
              </w:rPr>
              <w:t>Regression</w:t>
            </w:r>
          </w:p>
        </w:tc>
        <w:tc>
          <w:tcPr>
            <w:tcW w:w="1312" w:type="dxa"/>
            <w:tcBorders>
              <w:left w:val="nil"/>
              <w:bottom w:val="single" w:sz="8" w:space="0" w:color="ADADAD"/>
              <w:right w:val="single" w:sz="8" w:space="0" w:color="DFDFDF"/>
            </w:tcBorders>
          </w:tcPr>
          <w:p w:rsidR="003E1EFB" w:rsidRPr="00A77C53" w:rsidRDefault="003E1EFB" w:rsidP="00FA043B">
            <w:pPr>
              <w:spacing w:before="106" w:line="23" w:lineRule="atLeast"/>
              <w:ind w:right="57"/>
              <w:jc w:val="right"/>
              <w:rPr>
                <w:rFonts w:ascii="Arial MT" w:eastAsia="Arial MT" w:hAnsi="Arial MT" w:cs="Arial MT"/>
                <w:sz w:val="18"/>
                <w:lang w:val="en-US"/>
              </w:rPr>
            </w:pPr>
            <w:r w:rsidRPr="00A77C53">
              <w:rPr>
                <w:rFonts w:ascii="Arial MT" w:eastAsia="Arial MT" w:hAnsi="Arial MT" w:cs="Arial MT"/>
                <w:color w:val="000104"/>
                <w:spacing w:val="-2"/>
                <w:sz w:val="18"/>
                <w:lang w:val="en-US"/>
              </w:rPr>
              <w:t>155288,405</w:t>
            </w:r>
          </w:p>
        </w:tc>
        <w:tc>
          <w:tcPr>
            <w:tcW w:w="915" w:type="dxa"/>
            <w:tcBorders>
              <w:left w:val="single" w:sz="8" w:space="0" w:color="DFDFDF"/>
              <w:bottom w:val="single" w:sz="8" w:space="0" w:color="ADADAD"/>
              <w:right w:val="single" w:sz="8" w:space="0" w:color="DFDFDF"/>
            </w:tcBorders>
          </w:tcPr>
          <w:p w:rsidR="003E1EFB" w:rsidRPr="00A77C53" w:rsidRDefault="003E1EFB" w:rsidP="00FA043B">
            <w:pPr>
              <w:spacing w:before="106" w:line="23" w:lineRule="atLeast"/>
              <w:ind w:right="58"/>
              <w:jc w:val="right"/>
              <w:rPr>
                <w:rFonts w:ascii="Arial MT" w:eastAsia="Arial MT" w:hAnsi="Arial MT" w:cs="Arial MT"/>
                <w:sz w:val="18"/>
                <w:lang w:val="en-US"/>
              </w:rPr>
            </w:pPr>
            <w:r w:rsidRPr="00A77C53">
              <w:rPr>
                <w:rFonts w:ascii="Arial MT" w:eastAsia="Arial MT" w:hAnsi="Arial MT" w:cs="Arial MT"/>
                <w:color w:val="000104"/>
                <w:spacing w:val="-10"/>
                <w:sz w:val="18"/>
                <w:lang w:val="en-US"/>
              </w:rPr>
              <w:t>2</w:t>
            </w:r>
          </w:p>
        </w:tc>
        <w:tc>
          <w:tcPr>
            <w:tcW w:w="1259" w:type="dxa"/>
            <w:tcBorders>
              <w:left w:val="single" w:sz="8" w:space="0" w:color="DFDFDF"/>
              <w:bottom w:val="single" w:sz="8" w:space="0" w:color="ADADAD"/>
              <w:right w:val="single" w:sz="8" w:space="0" w:color="DFDFDF"/>
            </w:tcBorders>
          </w:tcPr>
          <w:p w:rsidR="003E1EFB" w:rsidRPr="00A77C53" w:rsidRDefault="003E1EFB" w:rsidP="00FA043B">
            <w:pPr>
              <w:spacing w:before="106" w:line="23" w:lineRule="atLeast"/>
              <w:ind w:right="59"/>
              <w:jc w:val="right"/>
              <w:rPr>
                <w:rFonts w:ascii="Arial MT" w:eastAsia="Arial MT" w:hAnsi="Arial MT" w:cs="Arial MT"/>
                <w:sz w:val="18"/>
                <w:lang w:val="en-US"/>
              </w:rPr>
            </w:pPr>
            <w:r w:rsidRPr="00A77C53">
              <w:rPr>
                <w:rFonts w:ascii="Arial MT" w:eastAsia="Arial MT" w:hAnsi="Arial MT" w:cs="Arial MT"/>
                <w:color w:val="000104"/>
                <w:spacing w:val="-2"/>
                <w:sz w:val="18"/>
                <w:lang w:val="en-US"/>
              </w:rPr>
              <w:t>77644,202</w:t>
            </w:r>
          </w:p>
        </w:tc>
        <w:tc>
          <w:tcPr>
            <w:tcW w:w="915" w:type="dxa"/>
            <w:tcBorders>
              <w:left w:val="single" w:sz="8" w:space="0" w:color="DFDFDF"/>
              <w:bottom w:val="single" w:sz="8" w:space="0" w:color="ADADAD"/>
              <w:right w:val="single" w:sz="8" w:space="0" w:color="DFDFDF"/>
            </w:tcBorders>
          </w:tcPr>
          <w:p w:rsidR="003E1EFB" w:rsidRPr="00A77C53" w:rsidRDefault="003E1EFB" w:rsidP="00FA043B">
            <w:pPr>
              <w:spacing w:before="106" w:line="23" w:lineRule="atLeast"/>
              <w:ind w:left="599"/>
              <w:rPr>
                <w:rFonts w:ascii="Arial MT" w:eastAsia="Arial MT" w:hAnsi="Arial MT" w:cs="Arial MT"/>
                <w:sz w:val="18"/>
                <w:lang w:val="en-US"/>
              </w:rPr>
            </w:pPr>
            <w:r w:rsidRPr="00A77C53">
              <w:rPr>
                <w:rFonts w:ascii="Arial MT" w:eastAsia="Arial MT" w:hAnsi="Arial MT" w:cs="Arial MT"/>
                <w:color w:val="000104"/>
                <w:spacing w:val="-4"/>
                <w:sz w:val="18"/>
                <w:lang w:val="en-US"/>
              </w:rPr>
              <w:t>,091</w:t>
            </w:r>
          </w:p>
        </w:tc>
        <w:tc>
          <w:tcPr>
            <w:tcW w:w="915" w:type="dxa"/>
            <w:tcBorders>
              <w:left w:val="single" w:sz="8" w:space="0" w:color="DFDFDF"/>
              <w:bottom w:val="single" w:sz="8" w:space="0" w:color="ADADAD"/>
              <w:right w:val="nil"/>
            </w:tcBorders>
          </w:tcPr>
          <w:p w:rsidR="003E1EFB" w:rsidRPr="00A77C53" w:rsidRDefault="003E1EFB" w:rsidP="00FA043B">
            <w:pPr>
              <w:spacing w:before="102" w:line="23" w:lineRule="atLeast"/>
              <w:ind w:left="541"/>
              <w:rPr>
                <w:rFonts w:ascii="Arial MT" w:eastAsia="Arial MT" w:hAnsi="Arial MT" w:cs="Arial MT"/>
                <w:sz w:val="12"/>
                <w:lang w:val="en-US"/>
              </w:rPr>
            </w:pPr>
            <w:r w:rsidRPr="00A77C53">
              <w:rPr>
                <w:rFonts w:ascii="Arial MT" w:eastAsia="Arial MT" w:hAnsi="Arial MT" w:cs="Arial MT"/>
                <w:color w:val="000104"/>
                <w:spacing w:val="-2"/>
                <w:sz w:val="18"/>
                <w:lang w:val="en-US"/>
              </w:rPr>
              <w:t>,916</w:t>
            </w:r>
            <w:r w:rsidRPr="00A77C53">
              <w:rPr>
                <w:rFonts w:ascii="Arial MT" w:eastAsia="Arial MT" w:hAnsi="Arial MT" w:cs="Arial MT"/>
                <w:color w:val="000104"/>
                <w:spacing w:val="-2"/>
                <w:position w:val="6"/>
                <w:sz w:val="12"/>
                <w:lang w:val="en-US"/>
              </w:rPr>
              <w:t>b</w:t>
            </w:r>
          </w:p>
        </w:tc>
      </w:tr>
      <w:tr w:rsidR="003E1EFB" w:rsidRPr="00A77C53" w:rsidTr="00C03F13">
        <w:trPr>
          <w:trHeight w:val="430"/>
        </w:trPr>
        <w:tc>
          <w:tcPr>
            <w:tcW w:w="655" w:type="dxa"/>
            <w:vMerge/>
            <w:tcBorders>
              <w:top w:val="nil"/>
              <w:left w:val="nil"/>
              <w:right w:val="nil"/>
            </w:tcBorders>
            <w:shd w:val="clear" w:color="auto" w:fill="DFDFDF"/>
          </w:tcPr>
          <w:p w:rsidR="003E1EFB" w:rsidRPr="00A77C53" w:rsidRDefault="003E1EFB" w:rsidP="00FA043B">
            <w:pPr>
              <w:spacing w:line="23" w:lineRule="atLeast"/>
              <w:rPr>
                <w:rFonts w:ascii="Arial MT" w:eastAsia="Arial MT" w:hAnsi="Arial MT" w:cs="Arial MT"/>
                <w:sz w:val="2"/>
                <w:szCs w:val="2"/>
                <w:lang w:val="en-US"/>
              </w:rPr>
            </w:pPr>
          </w:p>
        </w:tc>
        <w:tc>
          <w:tcPr>
            <w:tcW w:w="1149" w:type="dxa"/>
            <w:tcBorders>
              <w:top w:val="single" w:sz="8" w:space="0" w:color="ADADAD"/>
              <w:left w:val="nil"/>
              <w:bottom w:val="single" w:sz="8" w:space="0" w:color="ADADAD"/>
              <w:right w:val="nil"/>
            </w:tcBorders>
            <w:shd w:val="clear" w:color="auto" w:fill="DFDFDF"/>
          </w:tcPr>
          <w:p w:rsidR="003E1EFB" w:rsidRPr="00A77C53" w:rsidRDefault="003E1EFB" w:rsidP="00FA043B">
            <w:pPr>
              <w:spacing w:before="108" w:line="23" w:lineRule="atLeast"/>
              <w:ind w:left="59"/>
              <w:rPr>
                <w:rFonts w:ascii="Arial MT" w:eastAsia="Arial MT" w:hAnsi="Arial MT" w:cs="Arial MT"/>
                <w:sz w:val="18"/>
                <w:lang w:val="en-US"/>
              </w:rPr>
            </w:pPr>
            <w:r w:rsidRPr="00A77C53">
              <w:rPr>
                <w:rFonts w:ascii="Arial MT" w:eastAsia="Arial MT" w:hAnsi="Arial MT" w:cs="Arial MT"/>
                <w:color w:val="25495F"/>
                <w:spacing w:val="-2"/>
                <w:sz w:val="18"/>
                <w:lang w:val="en-US"/>
              </w:rPr>
              <w:t>Residual</w:t>
            </w:r>
          </w:p>
        </w:tc>
        <w:tc>
          <w:tcPr>
            <w:tcW w:w="1312" w:type="dxa"/>
            <w:tcBorders>
              <w:top w:val="single" w:sz="8" w:space="0" w:color="ADADAD"/>
              <w:left w:val="nil"/>
              <w:bottom w:val="single" w:sz="8" w:space="0" w:color="ADADAD"/>
              <w:right w:val="single" w:sz="8" w:space="0" w:color="DFDFDF"/>
            </w:tcBorders>
          </w:tcPr>
          <w:p w:rsidR="003E1EFB" w:rsidRPr="00A77C53" w:rsidRDefault="003E1EFB" w:rsidP="00FA043B">
            <w:pPr>
              <w:spacing w:before="108" w:line="23" w:lineRule="atLeast"/>
              <w:ind w:right="57"/>
              <w:jc w:val="right"/>
              <w:rPr>
                <w:rFonts w:ascii="Arial MT" w:eastAsia="Arial MT" w:hAnsi="Arial MT" w:cs="Arial MT"/>
                <w:sz w:val="18"/>
                <w:lang w:val="en-US"/>
              </w:rPr>
            </w:pPr>
            <w:r w:rsidRPr="00A77C53">
              <w:rPr>
                <w:rFonts w:ascii="Arial MT" w:eastAsia="Arial MT" w:hAnsi="Arial MT" w:cs="Arial MT"/>
                <w:color w:val="000104"/>
                <w:spacing w:val="-2"/>
                <w:sz w:val="18"/>
                <w:lang w:val="en-US"/>
              </w:rPr>
              <w:t>1700491,595</w:t>
            </w:r>
          </w:p>
        </w:tc>
        <w:tc>
          <w:tcPr>
            <w:tcW w:w="915" w:type="dxa"/>
            <w:tcBorders>
              <w:top w:val="single" w:sz="8" w:space="0" w:color="ADADAD"/>
              <w:left w:val="single" w:sz="8" w:space="0" w:color="DFDFDF"/>
              <w:bottom w:val="single" w:sz="8" w:space="0" w:color="ADADAD"/>
              <w:right w:val="single" w:sz="8" w:space="0" w:color="DFDFDF"/>
            </w:tcBorders>
          </w:tcPr>
          <w:p w:rsidR="003E1EFB" w:rsidRPr="00A77C53" w:rsidRDefault="003E1EFB" w:rsidP="00FA043B">
            <w:pPr>
              <w:spacing w:before="108" w:line="23" w:lineRule="atLeast"/>
              <w:ind w:right="58"/>
              <w:jc w:val="right"/>
              <w:rPr>
                <w:rFonts w:ascii="Arial MT" w:eastAsia="Arial MT" w:hAnsi="Arial MT" w:cs="Arial MT"/>
                <w:sz w:val="18"/>
                <w:lang w:val="en-US"/>
              </w:rPr>
            </w:pPr>
            <w:r w:rsidRPr="00A77C53">
              <w:rPr>
                <w:rFonts w:ascii="Arial MT" w:eastAsia="Arial MT" w:hAnsi="Arial MT" w:cs="Arial MT"/>
                <w:color w:val="000104"/>
                <w:spacing w:val="-10"/>
                <w:sz w:val="18"/>
                <w:lang w:val="en-US"/>
              </w:rPr>
              <w:t>2</w:t>
            </w:r>
          </w:p>
        </w:tc>
        <w:tc>
          <w:tcPr>
            <w:tcW w:w="1259" w:type="dxa"/>
            <w:tcBorders>
              <w:top w:val="single" w:sz="8" w:space="0" w:color="ADADAD"/>
              <w:left w:val="single" w:sz="8" w:space="0" w:color="DFDFDF"/>
              <w:bottom w:val="single" w:sz="8" w:space="0" w:color="ADADAD"/>
              <w:right w:val="single" w:sz="8" w:space="0" w:color="DFDFDF"/>
            </w:tcBorders>
          </w:tcPr>
          <w:p w:rsidR="003E1EFB" w:rsidRPr="00A77C53" w:rsidRDefault="003E1EFB" w:rsidP="00FA043B">
            <w:pPr>
              <w:spacing w:before="108" w:line="23" w:lineRule="atLeast"/>
              <w:ind w:right="59"/>
              <w:jc w:val="right"/>
              <w:rPr>
                <w:rFonts w:ascii="Arial MT" w:eastAsia="Arial MT" w:hAnsi="Arial MT" w:cs="Arial MT"/>
                <w:sz w:val="18"/>
                <w:lang w:val="en-US"/>
              </w:rPr>
            </w:pPr>
            <w:r w:rsidRPr="00A77C53">
              <w:rPr>
                <w:rFonts w:ascii="Arial MT" w:eastAsia="Arial MT" w:hAnsi="Arial MT" w:cs="Arial MT"/>
                <w:color w:val="000104"/>
                <w:spacing w:val="-2"/>
                <w:sz w:val="18"/>
                <w:lang w:val="en-US"/>
              </w:rPr>
              <w:t>850245,798</w:t>
            </w:r>
          </w:p>
        </w:tc>
        <w:tc>
          <w:tcPr>
            <w:tcW w:w="915" w:type="dxa"/>
            <w:tcBorders>
              <w:top w:val="single" w:sz="8" w:space="0" w:color="ADADAD"/>
              <w:left w:val="single" w:sz="8" w:space="0" w:color="DFDFDF"/>
              <w:bottom w:val="single" w:sz="8" w:space="0" w:color="ADADAD"/>
              <w:right w:val="single" w:sz="8" w:space="0" w:color="DFDFDF"/>
            </w:tcBorders>
          </w:tcPr>
          <w:p w:rsidR="003E1EFB" w:rsidRPr="00A77C53" w:rsidRDefault="003E1EFB" w:rsidP="00FA043B">
            <w:pPr>
              <w:spacing w:line="23" w:lineRule="atLeast"/>
              <w:rPr>
                <w:rFonts w:eastAsia="Arial MT" w:hAnsi="Arial MT" w:cs="Arial MT"/>
                <w:sz w:val="18"/>
                <w:lang w:val="en-US"/>
              </w:rPr>
            </w:pPr>
          </w:p>
        </w:tc>
        <w:tc>
          <w:tcPr>
            <w:tcW w:w="915" w:type="dxa"/>
            <w:tcBorders>
              <w:top w:val="single" w:sz="8" w:space="0" w:color="ADADAD"/>
              <w:left w:val="single" w:sz="8" w:space="0" w:color="DFDFDF"/>
              <w:bottom w:val="single" w:sz="8" w:space="0" w:color="ADADAD"/>
              <w:right w:val="nil"/>
            </w:tcBorders>
          </w:tcPr>
          <w:p w:rsidR="003E1EFB" w:rsidRPr="00A77C53" w:rsidRDefault="003E1EFB" w:rsidP="00FA043B">
            <w:pPr>
              <w:spacing w:line="23" w:lineRule="atLeast"/>
              <w:rPr>
                <w:rFonts w:eastAsia="Arial MT" w:hAnsi="Arial MT" w:cs="Arial MT"/>
                <w:sz w:val="18"/>
                <w:lang w:val="en-US"/>
              </w:rPr>
            </w:pPr>
          </w:p>
        </w:tc>
      </w:tr>
      <w:tr w:rsidR="003E1EFB" w:rsidRPr="00A77C53" w:rsidTr="00C03F13">
        <w:trPr>
          <w:trHeight w:val="430"/>
        </w:trPr>
        <w:tc>
          <w:tcPr>
            <w:tcW w:w="655" w:type="dxa"/>
            <w:vMerge/>
            <w:tcBorders>
              <w:top w:val="nil"/>
              <w:left w:val="nil"/>
              <w:right w:val="nil"/>
            </w:tcBorders>
            <w:shd w:val="clear" w:color="auto" w:fill="DFDFDF"/>
          </w:tcPr>
          <w:p w:rsidR="003E1EFB" w:rsidRPr="00A77C53" w:rsidRDefault="003E1EFB" w:rsidP="00FA043B">
            <w:pPr>
              <w:spacing w:line="23" w:lineRule="atLeast"/>
              <w:rPr>
                <w:rFonts w:ascii="Arial MT" w:eastAsia="Arial MT" w:hAnsi="Arial MT" w:cs="Arial MT"/>
                <w:sz w:val="2"/>
                <w:szCs w:val="2"/>
                <w:lang w:val="en-US"/>
              </w:rPr>
            </w:pPr>
          </w:p>
        </w:tc>
        <w:tc>
          <w:tcPr>
            <w:tcW w:w="1149" w:type="dxa"/>
            <w:tcBorders>
              <w:top w:val="single" w:sz="8" w:space="0" w:color="ADADAD"/>
              <w:left w:val="nil"/>
              <w:right w:val="nil"/>
            </w:tcBorders>
            <w:shd w:val="clear" w:color="auto" w:fill="DFDFDF"/>
          </w:tcPr>
          <w:p w:rsidR="003E1EFB" w:rsidRPr="00A77C53" w:rsidRDefault="003E1EFB" w:rsidP="00FA043B">
            <w:pPr>
              <w:spacing w:before="106" w:line="23" w:lineRule="atLeast"/>
              <w:ind w:left="59"/>
              <w:rPr>
                <w:rFonts w:ascii="Arial MT" w:eastAsia="Arial MT" w:hAnsi="Arial MT" w:cs="Arial MT"/>
                <w:sz w:val="18"/>
                <w:lang w:val="en-US"/>
              </w:rPr>
            </w:pPr>
            <w:r w:rsidRPr="00A77C53">
              <w:rPr>
                <w:rFonts w:ascii="Arial MT" w:eastAsia="Arial MT" w:hAnsi="Arial MT" w:cs="Arial MT"/>
                <w:color w:val="25495F"/>
                <w:spacing w:val="-2"/>
                <w:sz w:val="18"/>
                <w:lang w:val="en-US"/>
              </w:rPr>
              <w:t>Total</w:t>
            </w:r>
          </w:p>
        </w:tc>
        <w:tc>
          <w:tcPr>
            <w:tcW w:w="1312" w:type="dxa"/>
            <w:tcBorders>
              <w:top w:val="single" w:sz="8" w:space="0" w:color="ADADAD"/>
              <w:left w:val="nil"/>
              <w:right w:val="single" w:sz="8" w:space="0" w:color="DFDFDF"/>
            </w:tcBorders>
          </w:tcPr>
          <w:p w:rsidR="003E1EFB" w:rsidRPr="00A77C53" w:rsidRDefault="003E1EFB" w:rsidP="00FA043B">
            <w:pPr>
              <w:spacing w:before="106" w:line="23" w:lineRule="atLeast"/>
              <w:ind w:right="57"/>
              <w:jc w:val="right"/>
              <w:rPr>
                <w:rFonts w:ascii="Arial MT" w:eastAsia="Arial MT" w:hAnsi="Arial MT" w:cs="Arial MT"/>
                <w:sz w:val="18"/>
                <w:lang w:val="en-US"/>
              </w:rPr>
            </w:pPr>
            <w:r w:rsidRPr="00A77C53">
              <w:rPr>
                <w:rFonts w:ascii="Arial MT" w:eastAsia="Arial MT" w:hAnsi="Arial MT" w:cs="Arial MT"/>
                <w:color w:val="000104"/>
                <w:spacing w:val="-2"/>
                <w:sz w:val="18"/>
                <w:lang w:val="en-US"/>
              </w:rPr>
              <w:t>1855780,000</w:t>
            </w:r>
          </w:p>
        </w:tc>
        <w:tc>
          <w:tcPr>
            <w:tcW w:w="915" w:type="dxa"/>
            <w:tcBorders>
              <w:top w:val="single" w:sz="8" w:space="0" w:color="ADADAD"/>
              <w:left w:val="single" w:sz="8" w:space="0" w:color="DFDFDF"/>
              <w:right w:val="single" w:sz="8" w:space="0" w:color="DFDFDF"/>
            </w:tcBorders>
          </w:tcPr>
          <w:p w:rsidR="003E1EFB" w:rsidRPr="00A77C53" w:rsidRDefault="003E1EFB" w:rsidP="00FA043B">
            <w:pPr>
              <w:spacing w:before="106" w:line="23" w:lineRule="atLeast"/>
              <w:ind w:right="58"/>
              <w:jc w:val="right"/>
              <w:rPr>
                <w:rFonts w:ascii="Arial MT" w:eastAsia="Arial MT" w:hAnsi="Arial MT" w:cs="Arial MT"/>
                <w:sz w:val="18"/>
                <w:lang w:val="en-US"/>
              </w:rPr>
            </w:pPr>
            <w:r w:rsidRPr="00A77C53">
              <w:rPr>
                <w:rFonts w:ascii="Arial MT" w:eastAsia="Arial MT" w:hAnsi="Arial MT" w:cs="Arial MT"/>
                <w:color w:val="000104"/>
                <w:spacing w:val="-10"/>
                <w:sz w:val="18"/>
                <w:lang w:val="en-US"/>
              </w:rPr>
              <w:t>4</w:t>
            </w:r>
          </w:p>
        </w:tc>
        <w:tc>
          <w:tcPr>
            <w:tcW w:w="1259" w:type="dxa"/>
            <w:tcBorders>
              <w:top w:val="single" w:sz="8" w:space="0" w:color="ADADAD"/>
              <w:left w:val="single" w:sz="8" w:space="0" w:color="DFDFDF"/>
              <w:right w:val="single" w:sz="8" w:space="0" w:color="DFDFDF"/>
            </w:tcBorders>
          </w:tcPr>
          <w:p w:rsidR="003E1EFB" w:rsidRPr="00A77C53" w:rsidRDefault="003E1EFB" w:rsidP="00FA043B">
            <w:pPr>
              <w:spacing w:line="23" w:lineRule="atLeast"/>
              <w:rPr>
                <w:rFonts w:eastAsia="Arial MT" w:hAnsi="Arial MT" w:cs="Arial MT"/>
                <w:sz w:val="18"/>
                <w:lang w:val="en-US"/>
              </w:rPr>
            </w:pPr>
          </w:p>
        </w:tc>
        <w:tc>
          <w:tcPr>
            <w:tcW w:w="915" w:type="dxa"/>
            <w:tcBorders>
              <w:top w:val="single" w:sz="8" w:space="0" w:color="ADADAD"/>
              <w:left w:val="single" w:sz="8" w:space="0" w:color="DFDFDF"/>
              <w:right w:val="single" w:sz="8" w:space="0" w:color="DFDFDF"/>
            </w:tcBorders>
          </w:tcPr>
          <w:p w:rsidR="003E1EFB" w:rsidRPr="00A77C53" w:rsidRDefault="003E1EFB" w:rsidP="00FA043B">
            <w:pPr>
              <w:spacing w:line="23" w:lineRule="atLeast"/>
              <w:rPr>
                <w:rFonts w:eastAsia="Arial MT" w:hAnsi="Arial MT" w:cs="Arial MT"/>
                <w:sz w:val="18"/>
                <w:lang w:val="en-US"/>
              </w:rPr>
            </w:pPr>
          </w:p>
        </w:tc>
        <w:tc>
          <w:tcPr>
            <w:tcW w:w="915" w:type="dxa"/>
            <w:tcBorders>
              <w:top w:val="single" w:sz="8" w:space="0" w:color="ADADAD"/>
              <w:left w:val="single" w:sz="8" w:space="0" w:color="DFDFDF"/>
              <w:right w:val="nil"/>
            </w:tcBorders>
          </w:tcPr>
          <w:p w:rsidR="003E1EFB" w:rsidRPr="00A77C53" w:rsidRDefault="003E1EFB" w:rsidP="00FA043B">
            <w:pPr>
              <w:spacing w:line="23" w:lineRule="atLeast"/>
              <w:rPr>
                <w:rFonts w:eastAsia="Arial MT" w:hAnsi="Arial MT" w:cs="Arial MT"/>
                <w:sz w:val="18"/>
                <w:lang w:val="en-US"/>
              </w:rPr>
            </w:pPr>
          </w:p>
        </w:tc>
      </w:tr>
    </w:tbl>
    <w:p w:rsidR="003E1EFB" w:rsidRPr="00A77C53" w:rsidRDefault="003E1EFB" w:rsidP="00FA043B">
      <w:pPr>
        <w:numPr>
          <w:ilvl w:val="0"/>
          <w:numId w:val="8"/>
        </w:numPr>
        <w:tabs>
          <w:tab w:val="left" w:pos="808"/>
        </w:tabs>
        <w:spacing w:before="117" w:line="23" w:lineRule="atLeast"/>
        <w:ind w:left="808" w:hanging="200"/>
        <w:rPr>
          <w:rFonts w:ascii="Arial MT" w:eastAsia="Arial MT" w:hAnsi="Arial MT" w:cs="Arial MT"/>
          <w:sz w:val="18"/>
          <w:lang w:val="en-US"/>
        </w:rPr>
      </w:pPr>
      <w:r w:rsidRPr="00A77C53">
        <w:rPr>
          <w:rFonts w:ascii="Arial MT" w:eastAsia="Arial MT" w:hAnsi="Arial MT" w:cs="Arial MT"/>
          <w:color w:val="000104"/>
          <w:sz w:val="18"/>
          <w:lang w:val="en-US"/>
        </w:rPr>
        <w:lastRenderedPageBreak/>
        <w:t>Dependent</w:t>
      </w:r>
      <w:r w:rsidRPr="00A77C53">
        <w:rPr>
          <w:rFonts w:ascii="Arial MT" w:eastAsia="Arial MT" w:hAnsi="Arial MT" w:cs="Arial MT"/>
          <w:color w:val="000104"/>
          <w:spacing w:val="-8"/>
          <w:sz w:val="18"/>
          <w:lang w:val="en-US"/>
        </w:rPr>
        <w:t xml:space="preserve"> </w:t>
      </w:r>
      <w:r w:rsidRPr="00A77C53">
        <w:rPr>
          <w:rFonts w:ascii="Arial MT" w:eastAsia="Arial MT" w:hAnsi="Arial MT" w:cs="Arial MT"/>
          <w:color w:val="000104"/>
          <w:sz w:val="18"/>
          <w:lang w:val="en-US"/>
        </w:rPr>
        <w:t>Variable:</w:t>
      </w:r>
      <w:r w:rsidRPr="00A77C53">
        <w:rPr>
          <w:rFonts w:ascii="Arial MT" w:eastAsia="Arial MT" w:hAnsi="Arial MT" w:cs="Arial MT"/>
          <w:color w:val="000104"/>
          <w:spacing w:val="-6"/>
          <w:sz w:val="18"/>
          <w:lang w:val="en-US"/>
        </w:rPr>
        <w:t xml:space="preserve"> </w:t>
      </w:r>
      <w:r w:rsidRPr="00A77C53">
        <w:rPr>
          <w:rFonts w:ascii="Arial MT" w:eastAsia="Arial MT" w:hAnsi="Arial MT" w:cs="Arial MT"/>
          <w:color w:val="000104"/>
          <w:spacing w:val="-4"/>
          <w:sz w:val="18"/>
          <w:lang w:val="en-US"/>
        </w:rPr>
        <w:t>Saham</w:t>
      </w:r>
    </w:p>
    <w:p w:rsidR="003E1EFB" w:rsidRPr="00A77C53" w:rsidRDefault="003E1EFB" w:rsidP="00FA043B">
      <w:pPr>
        <w:numPr>
          <w:ilvl w:val="0"/>
          <w:numId w:val="8"/>
        </w:numPr>
        <w:tabs>
          <w:tab w:val="left" w:pos="808"/>
        </w:tabs>
        <w:spacing w:before="113" w:line="23" w:lineRule="atLeast"/>
        <w:ind w:left="808" w:hanging="200"/>
        <w:rPr>
          <w:rFonts w:ascii="Arial MT" w:eastAsia="Arial MT" w:hAnsi="Arial MT" w:cs="Arial MT"/>
          <w:sz w:val="18"/>
          <w:lang w:val="en-US"/>
        </w:rPr>
      </w:pPr>
      <w:r w:rsidRPr="00A77C53">
        <w:rPr>
          <w:rFonts w:ascii="Arial MT" w:eastAsia="Arial MT" w:hAnsi="Arial MT" w:cs="Arial MT"/>
          <w:color w:val="000104"/>
          <w:sz w:val="18"/>
          <w:lang w:val="en-US"/>
        </w:rPr>
        <w:t>Predictors:</w:t>
      </w:r>
      <w:r w:rsidRPr="00A77C53">
        <w:rPr>
          <w:rFonts w:ascii="Arial MT" w:eastAsia="Arial MT" w:hAnsi="Arial MT" w:cs="Arial MT"/>
          <w:color w:val="000104"/>
          <w:spacing w:val="-7"/>
          <w:sz w:val="18"/>
          <w:lang w:val="en-US"/>
        </w:rPr>
        <w:t xml:space="preserve"> </w:t>
      </w:r>
      <w:r w:rsidRPr="00A77C53">
        <w:rPr>
          <w:rFonts w:ascii="Arial MT" w:eastAsia="Arial MT" w:hAnsi="Arial MT" w:cs="Arial MT"/>
          <w:color w:val="000104"/>
          <w:sz w:val="18"/>
          <w:lang w:val="en-US"/>
        </w:rPr>
        <w:t>(Constant),</w:t>
      </w:r>
      <w:r w:rsidRPr="00A77C53">
        <w:rPr>
          <w:rFonts w:ascii="Arial MT" w:eastAsia="Arial MT" w:hAnsi="Arial MT" w:cs="Arial MT"/>
          <w:color w:val="000104"/>
          <w:spacing w:val="-7"/>
          <w:sz w:val="18"/>
          <w:lang w:val="en-US"/>
        </w:rPr>
        <w:t xml:space="preserve"> </w:t>
      </w:r>
      <w:r w:rsidRPr="00A77C53">
        <w:rPr>
          <w:rFonts w:ascii="Arial MT" w:eastAsia="Arial MT" w:hAnsi="Arial MT" w:cs="Arial MT"/>
          <w:color w:val="000104"/>
          <w:sz w:val="18"/>
          <w:lang w:val="en-US"/>
        </w:rPr>
        <w:t>DER,</w:t>
      </w:r>
      <w:r w:rsidRPr="00A77C53">
        <w:rPr>
          <w:rFonts w:ascii="Arial MT" w:eastAsia="Arial MT" w:hAnsi="Arial MT" w:cs="Arial MT"/>
          <w:color w:val="000104"/>
          <w:spacing w:val="-7"/>
          <w:sz w:val="18"/>
          <w:lang w:val="en-US"/>
        </w:rPr>
        <w:t xml:space="preserve"> </w:t>
      </w:r>
      <w:r w:rsidRPr="00A77C53">
        <w:rPr>
          <w:rFonts w:ascii="Arial MT" w:eastAsia="Arial MT" w:hAnsi="Arial MT" w:cs="Arial MT"/>
          <w:color w:val="000104"/>
          <w:spacing w:val="-5"/>
          <w:sz w:val="18"/>
          <w:lang w:val="en-US"/>
        </w:rPr>
        <w:t>DPS</w:t>
      </w:r>
    </w:p>
    <w:p w:rsidR="003E1EFB" w:rsidRDefault="003E1EFB" w:rsidP="00FA043B">
      <w:pPr>
        <w:pStyle w:val="BodyText"/>
        <w:spacing w:before="14" w:line="23" w:lineRule="atLeast"/>
        <w:ind w:left="0"/>
        <w:jc w:val="both"/>
        <w:rPr>
          <w:spacing w:val="-2"/>
        </w:rPr>
      </w:pPr>
      <w:r>
        <w:rPr>
          <w:rFonts w:ascii="Arial"/>
          <w:b/>
          <w:sz w:val="22"/>
          <w:szCs w:val="22"/>
        </w:rPr>
        <w:t xml:space="preserve">  </w:t>
      </w:r>
      <w:r>
        <w:t>Sumber:</w:t>
      </w:r>
      <w:r>
        <w:rPr>
          <w:spacing w:val="-4"/>
        </w:rPr>
        <w:t xml:space="preserve"> </w:t>
      </w:r>
      <w:r>
        <w:t>SPSS,</w:t>
      </w:r>
      <w:r>
        <w:rPr>
          <w:spacing w:val="-1"/>
        </w:rPr>
        <w:t xml:space="preserve"> </w:t>
      </w:r>
      <w:r>
        <w:t xml:space="preserve">data diolah </w:t>
      </w:r>
      <w:r>
        <w:rPr>
          <w:spacing w:val="-2"/>
        </w:rPr>
        <w:t>(2023)</w:t>
      </w:r>
    </w:p>
    <w:p w:rsidR="003E1EFB" w:rsidRDefault="003E1EFB" w:rsidP="00FA043B">
      <w:pPr>
        <w:pStyle w:val="BodyText"/>
        <w:spacing w:before="14" w:line="23" w:lineRule="atLeast"/>
        <w:ind w:left="0"/>
        <w:jc w:val="both"/>
      </w:pPr>
    </w:p>
    <w:p w:rsidR="003E1EFB" w:rsidRDefault="003E1EFB" w:rsidP="00FA043B">
      <w:pPr>
        <w:pStyle w:val="BodyText"/>
        <w:spacing w:before="5" w:line="23" w:lineRule="atLeast"/>
        <w:ind w:left="168" w:firstLine="528"/>
        <w:jc w:val="both"/>
      </w:pPr>
      <w:r w:rsidRPr="00A77C53">
        <w:t>Berdasarkan hasil uji F diperoleh F</w:t>
      </w:r>
      <w:r w:rsidRPr="00A77C53">
        <w:rPr>
          <w:vertAlign w:val="subscript"/>
        </w:rPr>
        <w:t xml:space="preserve">hitung </w:t>
      </w:r>
      <w:r w:rsidRPr="00A77C53">
        <w:t>= 0,091</w:t>
      </w:r>
      <w:r w:rsidRPr="00A77C53">
        <w:rPr>
          <w:vertAlign w:val="subscript"/>
        </w:rPr>
        <w:t xml:space="preserve"> </w:t>
      </w:r>
      <w:r w:rsidRPr="00A77C53">
        <w:t>&lt; F</w:t>
      </w:r>
      <w:r w:rsidRPr="00A77C53">
        <w:rPr>
          <w:vertAlign w:val="subscript"/>
        </w:rPr>
        <w:t xml:space="preserve">tabel </w:t>
      </w:r>
      <w:r w:rsidRPr="00A77C53">
        <w:t>= 19,0 atau</w:t>
      </w:r>
      <w:r w:rsidRPr="00A77C53">
        <w:rPr>
          <w:vertAlign w:val="subscript"/>
        </w:rPr>
        <w:t xml:space="preserve"> </w:t>
      </w:r>
      <w:r w:rsidRPr="00A77C53">
        <w:t>berada pada daerah terima H</w:t>
      </w:r>
      <w:r w:rsidRPr="00A77C53">
        <w:rPr>
          <w:vertAlign w:val="subscript"/>
        </w:rPr>
        <w:t>o</w:t>
      </w:r>
      <w:r w:rsidRPr="00A77C53">
        <w:t>. Ini berarti menunjukkan bahwa terdapat cukup bukti untuk menolak H</w:t>
      </w:r>
      <w:r w:rsidRPr="00A77C53">
        <w:rPr>
          <w:vertAlign w:val="subscript"/>
        </w:rPr>
        <w:t>1.</w:t>
      </w:r>
      <w:r w:rsidRPr="00A77C53">
        <w:t xml:space="preserve"> dengan nilai signifikansi 0,916 ini menunjukan variabel bebas yaitu </w:t>
      </w:r>
      <w:r w:rsidRPr="00A77C53">
        <w:rPr>
          <w:i/>
        </w:rPr>
        <w:t xml:space="preserve">Dividend Per Share </w:t>
      </w:r>
      <w:r w:rsidRPr="00A77C53">
        <w:t xml:space="preserve">dan </w:t>
      </w:r>
      <w:r w:rsidRPr="00A77C53">
        <w:rPr>
          <w:i/>
        </w:rPr>
        <w:t>Debt To Equity Ratio</w:t>
      </w:r>
      <w:r w:rsidRPr="00A77C53">
        <w:t xml:space="preserve"> secara simultan tidak berpengaruh signifikan terhadap harga saham pada PT. Harum Energy,Tbk</w:t>
      </w:r>
      <w:r>
        <w:t>.</w:t>
      </w:r>
    </w:p>
    <w:p w:rsidR="00C03F13" w:rsidRDefault="00C03F13" w:rsidP="00FA043B">
      <w:pPr>
        <w:pStyle w:val="BodyText"/>
        <w:spacing w:before="5" w:line="23" w:lineRule="atLeast"/>
        <w:ind w:left="168" w:firstLine="528"/>
        <w:jc w:val="both"/>
      </w:pPr>
    </w:p>
    <w:p w:rsidR="00C03F13" w:rsidRDefault="00C03F13" w:rsidP="00FA043B">
      <w:pPr>
        <w:pStyle w:val="BodyText"/>
        <w:spacing w:before="5" w:line="23" w:lineRule="atLeast"/>
        <w:ind w:left="168" w:firstLine="528"/>
        <w:jc w:val="both"/>
      </w:pPr>
    </w:p>
    <w:p w:rsidR="00C03F13" w:rsidRDefault="00C03F13" w:rsidP="00FA043B">
      <w:pPr>
        <w:pStyle w:val="BodyText"/>
        <w:spacing w:before="5" w:line="23" w:lineRule="atLeast"/>
        <w:ind w:left="168" w:firstLine="528"/>
        <w:jc w:val="both"/>
      </w:pPr>
    </w:p>
    <w:p w:rsidR="00C03F13" w:rsidRDefault="00C03F13" w:rsidP="00FA043B">
      <w:pPr>
        <w:pStyle w:val="BodyText"/>
        <w:spacing w:before="5" w:line="23" w:lineRule="atLeast"/>
        <w:ind w:left="168" w:firstLine="528"/>
        <w:jc w:val="both"/>
      </w:pPr>
    </w:p>
    <w:p w:rsidR="003E1EFB" w:rsidRPr="00A77C53" w:rsidRDefault="003E1EFB" w:rsidP="00FA043B">
      <w:pPr>
        <w:pStyle w:val="BodyText"/>
        <w:spacing w:before="5" w:line="23" w:lineRule="atLeast"/>
        <w:ind w:left="168" w:firstLine="528"/>
        <w:jc w:val="both"/>
      </w:pPr>
    </w:p>
    <w:p w:rsidR="003E1EFB" w:rsidRPr="00A77C53" w:rsidRDefault="003E1EFB" w:rsidP="00FA043B">
      <w:pPr>
        <w:pStyle w:val="ListParagraph"/>
        <w:numPr>
          <w:ilvl w:val="0"/>
          <w:numId w:val="4"/>
        </w:numPr>
        <w:tabs>
          <w:tab w:val="left" w:pos="528"/>
        </w:tabs>
        <w:spacing w:line="23" w:lineRule="atLeast"/>
        <w:ind w:hanging="360"/>
        <w:jc w:val="both"/>
        <w:rPr>
          <w:b/>
          <w:sz w:val="24"/>
        </w:rPr>
      </w:pPr>
      <w:r>
        <w:rPr>
          <w:b/>
          <w:sz w:val="24"/>
        </w:rPr>
        <w:t>Pengaruh</w:t>
      </w:r>
      <w:r>
        <w:rPr>
          <w:b/>
          <w:spacing w:val="-3"/>
          <w:sz w:val="24"/>
        </w:rPr>
        <w:t xml:space="preserve"> </w:t>
      </w:r>
      <w:r>
        <w:rPr>
          <w:b/>
          <w:i/>
          <w:sz w:val="24"/>
        </w:rPr>
        <w:t>Dividend Per Share</w:t>
      </w:r>
      <w:r>
        <w:rPr>
          <w:b/>
          <w:i/>
          <w:spacing w:val="1"/>
          <w:sz w:val="24"/>
        </w:rPr>
        <w:t xml:space="preserve"> </w:t>
      </w:r>
      <w:r>
        <w:rPr>
          <w:b/>
          <w:sz w:val="24"/>
        </w:rPr>
        <w:t>terhadap</w:t>
      </w:r>
      <w:r>
        <w:rPr>
          <w:b/>
          <w:spacing w:val="-6"/>
          <w:sz w:val="24"/>
        </w:rPr>
        <w:t xml:space="preserve"> </w:t>
      </w:r>
      <w:r w:rsidRPr="00A77C53">
        <w:rPr>
          <w:b/>
          <w:sz w:val="24"/>
        </w:rPr>
        <w:t>Harga</w:t>
      </w:r>
      <w:r>
        <w:rPr>
          <w:b/>
          <w:i/>
          <w:spacing w:val="-2"/>
          <w:sz w:val="24"/>
        </w:rPr>
        <w:t xml:space="preserve"> </w:t>
      </w:r>
      <w:r>
        <w:rPr>
          <w:b/>
          <w:spacing w:val="-2"/>
          <w:sz w:val="24"/>
        </w:rPr>
        <w:t>saham</w:t>
      </w:r>
    </w:p>
    <w:p w:rsidR="00C03F13" w:rsidRDefault="003E1EFB" w:rsidP="00FA043B">
      <w:pPr>
        <w:pStyle w:val="BodyText"/>
        <w:spacing w:line="23" w:lineRule="atLeast"/>
        <w:ind w:right="117" w:firstLine="720"/>
        <w:jc w:val="both"/>
      </w:pPr>
      <w:r w:rsidRPr="00A77C53">
        <w:t xml:space="preserve">Berdasarkan hasil pengujian secara parsial menunjukkan bahwa </w:t>
      </w:r>
      <w:r>
        <w:t xml:space="preserve">Dividend Per Share berpengaruh positif tidak signifikan terhadap harga saham pada PT. Harum Energy, Tbk. Hal ini dapat dilihat dari nilai </w:t>
      </w:r>
      <w:r w:rsidRPr="00A77C53">
        <w:t xml:space="preserve"> t</w:t>
      </w:r>
      <w:r w:rsidRPr="00A77C53">
        <w:rPr>
          <w:vertAlign w:val="subscript"/>
        </w:rPr>
        <w:t xml:space="preserve">hitung </w:t>
      </w:r>
      <w:r w:rsidRPr="00A77C53">
        <w:t>= 0,260 &lt; t</w:t>
      </w:r>
      <w:r w:rsidRPr="00A77C53">
        <w:rPr>
          <w:vertAlign w:val="subscript"/>
        </w:rPr>
        <w:t xml:space="preserve">tabel </w:t>
      </w:r>
      <w:r w:rsidRPr="00A77C53">
        <w:t>= 2,920 atau berada pada daerah terima H</w:t>
      </w:r>
      <w:r w:rsidRPr="00A77C53">
        <w:rPr>
          <w:vertAlign w:val="subscript"/>
        </w:rPr>
        <w:t xml:space="preserve">0 </w:t>
      </w:r>
      <w:r w:rsidRPr="00A77C53">
        <w:t>dan tolak H</w:t>
      </w:r>
      <w:r w:rsidRPr="00A77C53">
        <w:rPr>
          <w:vertAlign w:val="subscript"/>
        </w:rPr>
        <w:t>2</w:t>
      </w:r>
      <w:r w:rsidRPr="00A77C53">
        <w:t xml:space="preserve"> dengan nilai signifikansi 0,819 sehingga dapat disimpulkan bahwa secara parsial variabel </w:t>
      </w:r>
      <w:r w:rsidRPr="00A77C53">
        <w:rPr>
          <w:i/>
        </w:rPr>
        <w:t xml:space="preserve">Dividend Per Share </w:t>
      </w:r>
      <w:r w:rsidRPr="00A77C53">
        <w:t>berpengaruh positif tidak signifikan terhadap harga saham pada PT. Harum Energy, Tbk.</w:t>
      </w:r>
      <w:r>
        <w:t xml:space="preserve"> </w:t>
      </w:r>
    </w:p>
    <w:p w:rsidR="003E1EFB" w:rsidRDefault="003E1EFB" w:rsidP="00FA043B">
      <w:pPr>
        <w:pStyle w:val="BodyText"/>
        <w:spacing w:line="23" w:lineRule="atLeast"/>
        <w:ind w:right="117" w:firstLine="720"/>
        <w:jc w:val="both"/>
      </w:pPr>
      <w:r>
        <w:t>P</w:t>
      </w:r>
      <w:r w:rsidRPr="00707BF3">
        <w:t xml:space="preserve">enelitian ini sejalan dengan hasil penelitian yang telah dilakukan oleh Ibnu Sofyan Dwi Panca (2020) dimana hasil penelitiannya menunjukkan bahwa </w:t>
      </w:r>
      <w:r w:rsidRPr="00707BF3">
        <w:rPr>
          <w:i/>
        </w:rPr>
        <w:t xml:space="preserve">Dividend Per Share </w:t>
      </w:r>
      <w:r w:rsidRPr="00707BF3">
        <w:t xml:space="preserve">secara parsial berpengaruh positif dan tidak signifikan terhadap Harga saham.  Sedangkan penelitian ini tidak sejalan dengan penelitian yang telah dilakukan oleh Fachreza Bima Prakasa (2018), dimana hasil penelitian tersebut menunjukkan bahwa secara parsial variabel </w:t>
      </w:r>
      <w:r w:rsidRPr="00707BF3">
        <w:rPr>
          <w:i/>
        </w:rPr>
        <w:t xml:space="preserve">Dividend Per Share </w:t>
      </w:r>
      <w:r w:rsidRPr="00707BF3">
        <w:t>berpengaruh signifikan terhadap Harga Saham.</w:t>
      </w:r>
    </w:p>
    <w:p w:rsidR="003E1EFB" w:rsidRDefault="003E1EFB" w:rsidP="00FA043B">
      <w:pPr>
        <w:pStyle w:val="BodyText"/>
        <w:spacing w:line="23" w:lineRule="atLeast"/>
        <w:ind w:right="117" w:firstLine="720"/>
        <w:jc w:val="both"/>
      </w:pPr>
    </w:p>
    <w:p w:rsidR="003E1EFB" w:rsidRPr="00707BF3" w:rsidRDefault="003E1EFB" w:rsidP="00FA043B">
      <w:pPr>
        <w:pStyle w:val="ListParagraph"/>
        <w:spacing w:line="23" w:lineRule="atLeast"/>
        <w:ind w:left="168" w:firstLine="427"/>
        <w:rPr>
          <w:sz w:val="24"/>
          <w:szCs w:val="24"/>
        </w:rPr>
      </w:pPr>
      <w:r w:rsidRPr="00707BF3">
        <w:rPr>
          <w:i/>
          <w:sz w:val="24"/>
          <w:szCs w:val="24"/>
        </w:rPr>
        <w:t>Dividend Per Share</w:t>
      </w:r>
      <w:r w:rsidRPr="00707BF3">
        <w:rPr>
          <w:sz w:val="24"/>
          <w:szCs w:val="24"/>
        </w:rPr>
        <w:t xml:space="preserve"> merupakan total semua dividen tunai yang dibagikan pada tahun buku sebelumnya, dividen saham merupakan pembayaran dividen dibagi jumlah saham beredar dalam bentuk saham kepada pemegang saham, dividen dari sudut pandang perusahaan tidak lebih dari rekapitulasi perusahaan, artinya pembagian dividen saham tidak mengubah jumlah modal perusahaan, tetapi hanya terjadi perubahan strukutur modalnya saja. </w:t>
      </w:r>
    </w:p>
    <w:p w:rsidR="003E1EFB" w:rsidRPr="00A77C53" w:rsidRDefault="003E1EFB" w:rsidP="00FA043B">
      <w:pPr>
        <w:pStyle w:val="BodyText"/>
        <w:spacing w:line="23" w:lineRule="atLeast"/>
        <w:ind w:right="117" w:firstLine="720"/>
        <w:jc w:val="both"/>
      </w:pPr>
    </w:p>
    <w:p w:rsidR="003E1EFB" w:rsidRDefault="003E1EFB" w:rsidP="00FA043B">
      <w:pPr>
        <w:pStyle w:val="ListParagraph"/>
        <w:numPr>
          <w:ilvl w:val="0"/>
          <w:numId w:val="4"/>
        </w:numPr>
        <w:tabs>
          <w:tab w:val="left" w:pos="527"/>
        </w:tabs>
        <w:spacing w:line="23" w:lineRule="atLeast"/>
        <w:ind w:left="527" w:hanging="359"/>
        <w:jc w:val="both"/>
        <w:rPr>
          <w:b/>
          <w:sz w:val="24"/>
        </w:rPr>
      </w:pPr>
      <w:r>
        <w:rPr>
          <w:b/>
          <w:sz w:val="24"/>
        </w:rPr>
        <w:t>Pengaruh</w:t>
      </w:r>
      <w:r>
        <w:rPr>
          <w:b/>
          <w:spacing w:val="-4"/>
          <w:sz w:val="24"/>
        </w:rPr>
        <w:t xml:space="preserve"> </w:t>
      </w:r>
      <w:r>
        <w:rPr>
          <w:b/>
          <w:i/>
          <w:sz w:val="24"/>
        </w:rPr>
        <w:t>Debt</w:t>
      </w:r>
      <w:r>
        <w:rPr>
          <w:b/>
          <w:i/>
          <w:spacing w:val="-3"/>
          <w:sz w:val="24"/>
        </w:rPr>
        <w:t xml:space="preserve"> </w:t>
      </w:r>
      <w:r>
        <w:rPr>
          <w:b/>
          <w:i/>
          <w:sz w:val="24"/>
        </w:rPr>
        <w:t>to</w:t>
      </w:r>
      <w:r>
        <w:rPr>
          <w:b/>
          <w:i/>
          <w:spacing w:val="-3"/>
          <w:sz w:val="24"/>
        </w:rPr>
        <w:t xml:space="preserve"> </w:t>
      </w:r>
      <w:r>
        <w:rPr>
          <w:b/>
          <w:i/>
          <w:sz w:val="24"/>
        </w:rPr>
        <w:t>Equity</w:t>
      </w:r>
      <w:r>
        <w:rPr>
          <w:b/>
          <w:i/>
          <w:spacing w:val="-1"/>
          <w:sz w:val="24"/>
        </w:rPr>
        <w:t xml:space="preserve"> </w:t>
      </w:r>
      <w:r>
        <w:rPr>
          <w:b/>
          <w:i/>
          <w:sz w:val="24"/>
        </w:rPr>
        <w:t>Ratio</w:t>
      </w:r>
      <w:r>
        <w:rPr>
          <w:b/>
          <w:i/>
          <w:spacing w:val="-1"/>
          <w:sz w:val="24"/>
        </w:rPr>
        <w:t xml:space="preserve"> </w:t>
      </w:r>
      <w:r>
        <w:rPr>
          <w:b/>
          <w:sz w:val="24"/>
        </w:rPr>
        <w:t>terhadap</w:t>
      </w:r>
      <w:r>
        <w:rPr>
          <w:b/>
          <w:spacing w:val="-4"/>
          <w:sz w:val="24"/>
        </w:rPr>
        <w:t xml:space="preserve"> </w:t>
      </w:r>
      <w:r>
        <w:rPr>
          <w:b/>
          <w:i/>
          <w:sz w:val="24"/>
        </w:rPr>
        <w:t>Harga</w:t>
      </w:r>
      <w:r>
        <w:rPr>
          <w:b/>
          <w:i/>
          <w:spacing w:val="-3"/>
          <w:sz w:val="24"/>
        </w:rPr>
        <w:t xml:space="preserve"> </w:t>
      </w:r>
      <w:r>
        <w:rPr>
          <w:b/>
          <w:spacing w:val="-2"/>
          <w:sz w:val="24"/>
        </w:rPr>
        <w:t>saham</w:t>
      </w:r>
    </w:p>
    <w:p w:rsidR="003E1EFB" w:rsidRPr="00707BF3" w:rsidRDefault="003E1EFB" w:rsidP="00FA043B">
      <w:pPr>
        <w:pStyle w:val="BodyText"/>
        <w:spacing w:line="23" w:lineRule="atLeast"/>
        <w:ind w:right="118" w:firstLine="720"/>
        <w:jc w:val="both"/>
      </w:pPr>
      <w:r>
        <w:t xml:space="preserve">Berdasarkan hasil pengujian secara parsial menunjukkan bahwa </w:t>
      </w:r>
      <w:r>
        <w:rPr>
          <w:i/>
        </w:rPr>
        <w:t xml:space="preserve">Debt to Equity Ratio </w:t>
      </w:r>
      <w:r>
        <w:t xml:space="preserve">tidak berpengaruh signifikan terhadap </w:t>
      </w:r>
      <w:r w:rsidRPr="00707BF3">
        <w:t>Harga saham hal ini dapat dilihat dari nilai t</w:t>
      </w:r>
      <w:r w:rsidRPr="00707BF3">
        <w:rPr>
          <w:vertAlign w:val="subscript"/>
        </w:rPr>
        <w:t xml:space="preserve">hitung </w:t>
      </w:r>
      <w:r w:rsidRPr="00707BF3">
        <w:t>= 0,260 &lt; t</w:t>
      </w:r>
      <w:r w:rsidRPr="00707BF3">
        <w:rPr>
          <w:vertAlign w:val="subscript"/>
        </w:rPr>
        <w:t xml:space="preserve">tabel </w:t>
      </w:r>
      <w:r w:rsidRPr="00707BF3">
        <w:t>= 2,920 atau berada pada daerah terima H</w:t>
      </w:r>
      <w:r w:rsidRPr="00707BF3">
        <w:rPr>
          <w:vertAlign w:val="subscript"/>
        </w:rPr>
        <w:t xml:space="preserve">0 </w:t>
      </w:r>
      <w:r w:rsidRPr="00707BF3">
        <w:t>dan tolak H</w:t>
      </w:r>
      <w:r w:rsidRPr="00707BF3">
        <w:rPr>
          <w:vertAlign w:val="subscript"/>
        </w:rPr>
        <w:t>2</w:t>
      </w:r>
      <w:r w:rsidRPr="00707BF3">
        <w:t xml:space="preserve"> dengan nilai signifikansi 0,819 sehingga dapat disimpulkan bahwa secara parsial variabel </w:t>
      </w:r>
      <w:r w:rsidRPr="00707BF3">
        <w:rPr>
          <w:i/>
        </w:rPr>
        <w:t xml:space="preserve">Dividend Per Share </w:t>
      </w:r>
      <w:r w:rsidRPr="00707BF3">
        <w:t>berpengaruh positif tidak signifikan terhadap harga saham pada PT. Harum Energy,</w:t>
      </w:r>
      <w:r>
        <w:t>Tbk. P</w:t>
      </w:r>
      <w:r w:rsidRPr="00707BF3">
        <w:t xml:space="preserve">enelitian ini sejalan dengan hasil penelitian yang telah dilakukan oleh Ibnu Sofyan Dwi Panca (2020) dimana hasil penelitiannya menunjukkan bahwa </w:t>
      </w:r>
      <w:r w:rsidRPr="00707BF3">
        <w:rPr>
          <w:i/>
        </w:rPr>
        <w:t xml:space="preserve">Dividend Per Share </w:t>
      </w:r>
      <w:r w:rsidRPr="00707BF3">
        <w:t xml:space="preserve">secara parsial berpengaruh positif dan tidak signifikan terhadap Harga saham.  Sedangkan penelitian ini tidak sejalan dengan penelitian yang telah dilakukan oleh Fachreza Bima Prakasa (2018), dimana hasil penelitian tersebut menunjukkan bahwa secara parsial variabel </w:t>
      </w:r>
      <w:r w:rsidRPr="00707BF3">
        <w:rPr>
          <w:i/>
        </w:rPr>
        <w:t xml:space="preserve">Dividend Per Share </w:t>
      </w:r>
      <w:r w:rsidRPr="00707BF3">
        <w:t>berpengaruh signifikan terhadap Harga Saham.</w:t>
      </w:r>
    </w:p>
    <w:p w:rsidR="003E1EFB" w:rsidRDefault="003E1EFB" w:rsidP="00FA043B">
      <w:pPr>
        <w:pStyle w:val="BodyText"/>
        <w:spacing w:line="23" w:lineRule="atLeast"/>
        <w:ind w:right="118" w:firstLine="720"/>
        <w:jc w:val="both"/>
      </w:pPr>
    </w:p>
    <w:p w:rsidR="003E1EFB" w:rsidRPr="00707BF3" w:rsidRDefault="003E1EFB" w:rsidP="00FA043B">
      <w:pPr>
        <w:spacing w:line="23" w:lineRule="atLeast"/>
        <w:ind w:firstLine="720"/>
        <w:jc w:val="both"/>
        <w:rPr>
          <w:sz w:val="24"/>
        </w:rPr>
      </w:pPr>
      <w:r w:rsidRPr="00707BF3">
        <w:rPr>
          <w:i/>
          <w:sz w:val="24"/>
        </w:rPr>
        <w:t xml:space="preserve">Debt To Equity Ratio </w:t>
      </w:r>
      <w:r w:rsidRPr="00707BF3">
        <w:rPr>
          <w:sz w:val="24"/>
        </w:rPr>
        <w:t>merupakan rasio yang digunakan untuk menilai utang dengan ekuitas. Rasio ini dicari dengan cara membandingkan antara seluruh utang, termasuk utang lancar dengan seluruh ekuitas.</w:t>
      </w:r>
      <w:r w:rsidR="00C03F13">
        <w:rPr>
          <w:sz w:val="24"/>
        </w:rPr>
        <w:t xml:space="preserve"> </w:t>
      </w:r>
      <w:r w:rsidRPr="00707BF3">
        <w:rPr>
          <w:sz w:val="24"/>
        </w:rPr>
        <w:t xml:space="preserve">Rasio ini berguna untuk mengetahui jumlah dana yang disediakan peminjam (kreditor) dengan pemilik perusahaan dengan kata lain, rasio ini </w:t>
      </w:r>
      <w:r w:rsidRPr="00707BF3">
        <w:rPr>
          <w:sz w:val="24"/>
        </w:rPr>
        <w:lastRenderedPageBreak/>
        <w:t xml:space="preserve">berfungsi untuk mengetahui setiap rupiah modal sendiri yang dijadikan untuk jaminan hutang. Rasio ini juga memberikan petunjuk umum tentang kelayakan dan risiko keuangan perusahaan. </w:t>
      </w:r>
    </w:p>
    <w:p w:rsidR="003E1EFB" w:rsidRDefault="003E1EFB" w:rsidP="00FA043B">
      <w:pPr>
        <w:pStyle w:val="BodyText"/>
        <w:spacing w:line="23" w:lineRule="atLeast"/>
        <w:ind w:right="118"/>
        <w:jc w:val="both"/>
      </w:pPr>
    </w:p>
    <w:p w:rsidR="003E1EFB" w:rsidRDefault="003E1EFB" w:rsidP="00FA043B">
      <w:pPr>
        <w:pStyle w:val="BodyText"/>
        <w:spacing w:line="23" w:lineRule="atLeast"/>
        <w:ind w:left="0" w:right="118"/>
        <w:jc w:val="both"/>
      </w:pPr>
    </w:p>
    <w:p w:rsidR="003E1EFB" w:rsidRDefault="003E1EFB" w:rsidP="00FA043B">
      <w:pPr>
        <w:pStyle w:val="BodyText"/>
        <w:spacing w:before="72" w:line="23" w:lineRule="atLeast"/>
        <w:ind w:left="0" w:right="117"/>
        <w:jc w:val="both"/>
      </w:pPr>
    </w:p>
    <w:p w:rsidR="00C03F13" w:rsidRDefault="00C03F13" w:rsidP="00FA043B">
      <w:pPr>
        <w:pStyle w:val="BodyText"/>
        <w:spacing w:before="72" w:line="23" w:lineRule="atLeast"/>
        <w:ind w:left="0" w:right="117"/>
        <w:jc w:val="both"/>
      </w:pPr>
    </w:p>
    <w:p w:rsidR="00C03F13" w:rsidRDefault="00C03F13" w:rsidP="00FA043B">
      <w:pPr>
        <w:pStyle w:val="BodyText"/>
        <w:spacing w:before="72" w:line="23" w:lineRule="atLeast"/>
        <w:ind w:left="0" w:right="117"/>
        <w:jc w:val="both"/>
      </w:pPr>
    </w:p>
    <w:p w:rsidR="003E1EFB" w:rsidRDefault="003E1EFB" w:rsidP="00FA043B">
      <w:pPr>
        <w:pStyle w:val="Heading1"/>
        <w:spacing w:line="23" w:lineRule="atLeast"/>
      </w:pPr>
      <w:r>
        <w:rPr>
          <w:spacing w:val="-2"/>
        </w:rPr>
        <w:t>KESIMPULAN</w:t>
      </w:r>
    </w:p>
    <w:p w:rsidR="003E1EFB" w:rsidRDefault="003E1EFB" w:rsidP="00FA043B">
      <w:pPr>
        <w:pStyle w:val="BodyText"/>
        <w:spacing w:line="23" w:lineRule="atLeast"/>
      </w:pPr>
      <w:r>
        <w:t>Berdasarkan</w:t>
      </w:r>
      <w:r>
        <w:rPr>
          <w:spacing w:val="-4"/>
        </w:rPr>
        <w:t xml:space="preserve"> </w:t>
      </w:r>
      <w:r>
        <w:t>hasil</w:t>
      </w:r>
      <w:r>
        <w:rPr>
          <w:spacing w:val="-3"/>
        </w:rPr>
        <w:t xml:space="preserve"> </w:t>
      </w:r>
      <w:r>
        <w:t>penelitian,</w:t>
      </w:r>
      <w:r>
        <w:rPr>
          <w:spacing w:val="-7"/>
        </w:rPr>
        <w:t xml:space="preserve"> </w:t>
      </w:r>
      <w:r>
        <w:t>maka</w:t>
      </w:r>
      <w:r>
        <w:rPr>
          <w:spacing w:val="-3"/>
        </w:rPr>
        <w:t xml:space="preserve"> </w:t>
      </w:r>
      <w:r>
        <w:t>dapat</w:t>
      </w:r>
      <w:r>
        <w:rPr>
          <w:spacing w:val="-6"/>
        </w:rPr>
        <w:t xml:space="preserve"> </w:t>
      </w:r>
      <w:r>
        <w:t>disimpulkan</w:t>
      </w:r>
      <w:r>
        <w:rPr>
          <w:spacing w:val="-3"/>
        </w:rPr>
        <w:t xml:space="preserve"> </w:t>
      </w:r>
      <w:r>
        <w:t>sebagai</w:t>
      </w:r>
      <w:r>
        <w:rPr>
          <w:spacing w:val="-3"/>
        </w:rPr>
        <w:t xml:space="preserve"> </w:t>
      </w:r>
      <w:r>
        <w:rPr>
          <w:spacing w:val="-2"/>
        </w:rPr>
        <w:t>berikut:</w:t>
      </w:r>
    </w:p>
    <w:p w:rsidR="003E1EFB" w:rsidRPr="00E0730B" w:rsidRDefault="003E1EFB" w:rsidP="00FA043B">
      <w:pPr>
        <w:pStyle w:val="ListParagraph"/>
        <w:numPr>
          <w:ilvl w:val="0"/>
          <w:numId w:val="5"/>
        </w:numPr>
        <w:tabs>
          <w:tab w:val="left" w:pos="527"/>
        </w:tabs>
        <w:spacing w:before="1" w:line="23" w:lineRule="atLeast"/>
        <w:ind w:left="527" w:hanging="359"/>
        <w:rPr>
          <w:i/>
          <w:sz w:val="24"/>
        </w:rPr>
      </w:pPr>
      <w:r>
        <w:rPr>
          <w:sz w:val="24"/>
        </w:rPr>
        <w:t>Secara</w:t>
      </w:r>
      <w:r>
        <w:rPr>
          <w:spacing w:val="66"/>
          <w:sz w:val="24"/>
        </w:rPr>
        <w:t xml:space="preserve"> </w:t>
      </w:r>
      <w:r>
        <w:rPr>
          <w:sz w:val="24"/>
        </w:rPr>
        <w:t>parsial</w:t>
      </w:r>
      <w:r>
        <w:rPr>
          <w:spacing w:val="69"/>
          <w:sz w:val="24"/>
        </w:rPr>
        <w:t xml:space="preserve"> </w:t>
      </w:r>
      <w:r>
        <w:rPr>
          <w:i/>
          <w:sz w:val="24"/>
        </w:rPr>
        <w:t>Dividend Per Share</w:t>
      </w:r>
      <w:r>
        <w:rPr>
          <w:i/>
          <w:spacing w:val="70"/>
          <w:sz w:val="24"/>
        </w:rPr>
        <w:t xml:space="preserve"> </w:t>
      </w:r>
      <w:r>
        <w:rPr>
          <w:sz w:val="24"/>
        </w:rPr>
        <w:t>berpengaruh positif tidak signifikan terhadap Harga saham pada PT. Harum Energy, Tbk.</w:t>
      </w:r>
      <w:r w:rsidRPr="00E0730B">
        <w:rPr>
          <w:spacing w:val="-4"/>
        </w:rPr>
        <w:t>.</w:t>
      </w:r>
    </w:p>
    <w:p w:rsidR="003E1EFB" w:rsidRPr="00E0730B" w:rsidRDefault="003E1EFB" w:rsidP="00FA043B">
      <w:pPr>
        <w:pStyle w:val="ListParagraph"/>
        <w:numPr>
          <w:ilvl w:val="0"/>
          <w:numId w:val="5"/>
        </w:numPr>
        <w:tabs>
          <w:tab w:val="left" w:pos="528"/>
        </w:tabs>
        <w:spacing w:line="23" w:lineRule="atLeast"/>
        <w:ind w:hanging="360"/>
        <w:rPr>
          <w:i/>
          <w:sz w:val="24"/>
        </w:rPr>
      </w:pPr>
      <w:r>
        <w:rPr>
          <w:sz w:val="24"/>
        </w:rPr>
        <w:t>Secara</w:t>
      </w:r>
      <w:r>
        <w:rPr>
          <w:spacing w:val="30"/>
          <w:sz w:val="24"/>
        </w:rPr>
        <w:t xml:space="preserve"> </w:t>
      </w:r>
      <w:r>
        <w:rPr>
          <w:sz w:val="24"/>
        </w:rPr>
        <w:t>parsial</w:t>
      </w:r>
      <w:r>
        <w:rPr>
          <w:spacing w:val="33"/>
          <w:sz w:val="24"/>
        </w:rPr>
        <w:t xml:space="preserve"> </w:t>
      </w:r>
      <w:r>
        <w:rPr>
          <w:i/>
          <w:sz w:val="24"/>
        </w:rPr>
        <w:t>Debt</w:t>
      </w:r>
      <w:r>
        <w:rPr>
          <w:i/>
          <w:spacing w:val="31"/>
          <w:sz w:val="24"/>
        </w:rPr>
        <w:t xml:space="preserve"> </w:t>
      </w:r>
      <w:r>
        <w:rPr>
          <w:i/>
          <w:sz w:val="24"/>
        </w:rPr>
        <w:t>to</w:t>
      </w:r>
      <w:r>
        <w:rPr>
          <w:i/>
          <w:spacing w:val="30"/>
          <w:sz w:val="24"/>
        </w:rPr>
        <w:t xml:space="preserve"> </w:t>
      </w:r>
      <w:r>
        <w:rPr>
          <w:i/>
          <w:sz w:val="24"/>
        </w:rPr>
        <w:t>Equity</w:t>
      </w:r>
      <w:r>
        <w:rPr>
          <w:i/>
          <w:spacing w:val="30"/>
          <w:sz w:val="24"/>
        </w:rPr>
        <w:t xml:space="preserve"> </w:t>
      </w:r>
      <w:r>
        <w:rPr>
          <w:i/>
          <w:sz w:val="24"/>
        </w:rPr>
        <w:t>Ratio</w:t>
      </w:r>
      <w:r>
        <w:rPr>
          <w:i/>
          <w:spacing w:val="34"/>
          <w:sz w:val="24"/>
        </w:rPr>
        <w:t xml:space="preserve"> </w:t>
      </w:r>
      <w:r>
        <w:rPr>
          <w:sz w:val="24"/>
        </w:rPr>
        <w:t>tidak berpengaruh terhadap Harga saham pada PT. Harum Energy, Tbk.</w:t>
      </w:r>
    </w:p>
    <w:p w:rsidR="003E1EFB" w:rsidRDefault="003E1EFB" w:rsidP="00FA043B">
      <w:pPr>
        <w:pStyle w:val="ListParagraph"/>
        <w:numPr>
          <w:ilvl w:val="0"/>
          <w:numId w:val="5"/>
        </w:numPr>
        <w:tabs>
          <w:tab w:val="left" w:pos="526"/>
          <w:tab w:val="left" w:pos="528"/>
        </w:tabs>
        <w:spacing w:line="23" w:lineRule="atLeast"/>
        <w:ind w:right="117"/>
        <w:rPr>
          <w:sz w:val="24"/>
        </w:rPr>
      </w:pPr>
      <w:r>
        <w:rPr>
          <w:sz w:val="24"/>
        </w:rPr>
        <w:t>Secara</w:t>
      </w:r>
      <w:r>
        <w:rPr>
          <w:spacing w:val="40"/>
          <w:sz w:val="24"/>
        </w:rPr>
        <w:t xml:space="preserve"> </w:t>
      </w:r>
      <w:r>
        <w:rPr>
          <w:sz w:val="24"/>
        </w:rPr>
        <w:t>simultan</w:t>
      </w:r>
      <w:r>
        <w:rPr>
          <w:spacing w:val="40"/>
          <w:sz w:val="24"/>
        </w:rPr>
        <w:t xml:space="preserve"> </w:t>
      </w:r>
      <w:r>
        <w:rPr>
          <w:i/>
          <w:sz w:val="24"/>
        </w:rPr>
        <w:t>Dividend Per Sare</w:t>
      </w:r>
      <w:r>
        <w:rPr>
          <w:i/>
          <w:spacing w:val="40"/>
          <w:sz w:val="24"/>
        </w:rPr>
        <w:t xml:space="preserve"> </w:t>
      </w:r>
      <w:r>
        <w:rPr>
          <w:sz w:val="24"/>
        </w:rPr>
        <w:t>dan</w:t>
      </w:r>
      <w:r>
        <w:rPr>
          <w:spacing w:val="40"/>
          <w:sz w:val="24"/>
        </w:rPr>
        <w:t xml:space="preserve"> </w:t>
      </w:r>
      <w:r>
        <w:rPr>
          <w:i/>
          <w:sz w:val="24"/>
        </w:rPr>
        <w:t>Debt</w:t>
      </w:r>
      <w:r>
        <w:rPr>
          <w:i/>
          <w:spacing w:val="40"/>
          <w:sz w:val="24"/>
        </w:rPr>
        <w:t xml:space="preserve"> </w:t>
      </w:r>
      <w:r>
        <w:rPr>
          <w:i/>
          <w:sz w:val="24"/>
        </w:rPr>
        <w:t>to</w:t>
      </w:r>
      <w:r>
        <w:rPr>
          <w:i/>
          <w:spacing w:val="40"/>
          <w:sz w:val="24"/>
        </w:rPr>
        <w:t xml:space="preserve"> </w:t>
      </w:r>
      <w:r>
        <w:rPr>
          <w:i/>
          <w:sz w:val="24"/>
        </w:rPr>
        <w:t>Equity</w:t>
      </w:r>
      <w:r>
        <w:rPr>
          <w:i/>
          <w:spacing w:val="40"/>
          <w:sz w:val="24"/>
        </w:rPr>
        <w:t xml:space="preserve"> </w:t>
      </w:r>
      <w:r>
        <w:rPr>
          <w:i/>
          <w:sz w:val="24"/>
        </w:rPr>
        <w:t>Ratio</w:t>
      </w:r>
      <w:r>
        <w:rPr>
          <w:i/>
          <w:spacing w:val="40"/>
          <w:sz w:val="24"/>
        </w:rPr>
        <w:t xml:space="preserve"> </w:t>
      </w:r>
      <w:r>
        <w:rPr>
          <w:sz w:val="24"/>
        </w:rPr>
        <w:t>tidak</w:t>
      </w:r>
      <w:r>
        <w:rPr>
          <w:spacing w:val="40"/>
          <w:sz w:val="24"/>
        </w:rPr>
        <w:t xml:space="preserve"> </w:t>
      </w:r>
      <w:r>
        <w:rPr>
          <w:sz w:val="24"/>
        </w:rPr>
        <w:t xml:space="preserve">berpengaruh signifikan terhadap </w:t>
      </w:r>
      <w:r w:rsidRPr="00E0730B">
        <w:rPr>
          <w:sz w:val="24"/>
        </w:rPr>
        <w:t>harga</w:t>
      </w:r>
      <w:r>
        <w:rPr>
          <w:i/>
          <w:sz w:val="24"/>
        </w:rPr>
        <w:t xml:space="preserve"> </w:t>
      </w:r>
      <w:r>
        <w:rPr>
          <w:sz w:val="24"/>
        </w:rPr>
        <w:t>saham pada PT. Harum Energy, Tbk.</w:t>
      </w:r>
    </w:p>
    <w:p w:rsidR="003E1EFB" w:rsidRDefault="003E1EFB" w:rsidP="00FA043B">
      <w:pPr>
        <w:pStyle w:val="BodyText"/>
        <w:spacing w:line="23" w:lineRule="atLeast"/>
        <w:ind w:left="0" w:right="118"/>
        <w:jc w:val="both"/>
      </w:pPr>
    </w:p>
    <w:p w:rsidR="003E1EFB" w:rsidRDefault="003E1EFB" w:rsidP="00FA043B">
      <w:pPr>
        <w:pStyle w:val="BodyText"/>
        <w:spacing w:line="23" w:lineRule="atLeast"/>
        <w:ind w:left="0" w:right="118"/>
        <w:jc w:val="both"/>
      </w:pPr>
    </w:p>
    <w:p w:rsidR="003E1EFB" w:rsidRDefault="00FA043B" w:rsidP="00FA043B">
      <w:pPr>
        <w:pStyle w:val="BodyText"/>
        <w:spacing w:after="120" w:line="23" w:lineRule="atLeast"/>
        <w:ind w:left="0" w:right="118"/>
        <w:jc w:val="both"/>
        <w:rPr>
          <w:b/>
        </w:rPr>
      </w:pPr>
      <w:r>
        <w:rPr>
          <w:b/>
        </w:rPr>
        <w:t>DAFTAR PUSTAKA</w:t>
      </w:r>
    </w:p>
    <w:p w:rsidR="00FA043B" w:rsidRPr="00FA043B" w:rsidRDefault="00FA043B" w:rsidP="00FA043B">
      <w:pPr>
        <w:pStyle w:val="BodyText"/>
        <w:spacing w:after="120" w:line="23" w:lineRule="atLeast"/>
        <w:ind w:left="0" w:right="118"/>
        <w:jc w:val="both"/>
        <w:rPr>
          <w:b/>
        </w:rPr>
      </w:pPr>
    </w:p>
    <w:p w:rsidR="00FA043B" w:rsidRPr="00FA043B" w:rsidRDefault="00FA043B" w:rsidP="00FA043B">
      <w:pPr>
        <w:spacing w:after="120" w:line="23" w:lineRule="atLeast"/>
        <w:ind w:left="851" w:hanging="851"/>
        <w:jc w:val="both"/>
        <w:rPr>
          <w:sz w:val="24"/>
          <w:szCs w:val="24"/>
          <w:lang w:val="id-ID"/>
        </w:rPr>
      </w:pPr>
      <w:r w:rsidRPr="00FA043B">
        <w:rPr>
          <w:sz w:val="24"/>
          <w:szCs w:val="24"/>
        </w:rPr>
        <w:t xml:space="preserve">Azis Musdalifah, 2015. </w:t>
      </w:r>
      <w:r w:rsidRPr="00FA043B">
        <w:rPr>
          <w:i/>
          <w:iCs/>
          <w:sz w:val="24"/>
          <w:szCs w:val="24"/>
        </w:rPr>
        <w:t>Manajemen Investasi Fundamental, Teknikal, Perilaku Investor dan Return Saham</w:t>
      </w:r>
      <w:r w:rsidRPr="00FA043B">
        <w:rPr>
          <w:sz w:val="24"/>
          <w:szCs w:val="24"/>
        </w:rPr>
        <w:t>. Deepublish, Yogyakarta.</w:t>
      </w:r>
    </w:p>
    <w:p w:rsidR="00FA043B" w:rsidRPr="00FA043B" w:rsidRDefault="00FA043B" w:rsidP="00FA043B">
      <w:pPr>
        <w:spacing w:after="120" w:line="23" w:lineRule="atLeast"/>
        <w:ind w:left="851" w:hanging="851"/>
        <w:jc w:val="both"/>
        <w:rPr>
          <w:sz w:val="24"/>
          <w:szCs w:val="24"/>
        </w:rPr>
      </w:pPr>
      <w:r w:rsidRPr="00FA043B">
        <w:rPr>
          <w:sz w:val="24"/>
          <w:szCs w:val="24"/>
        </w:rPr>
        <w:t xml:space="preserve">Brigham dan Houston,2010. </w:t>
      </w:r>
      <w:r w:rsidRPr="00FA043B">
        <w:rPr>
          <w:i/>
          <w:sz w:val="24"/>
          <w:szCs w:val="24"/>
        </w:rPr>
        <w:t>Dasar-dasar manajemen keuangan</w:t>
      </w:r>
      <w:r w:rsidRPr="00FA043B">
        <w:rPr>
          <w:sz w:val="24"/>
          <w:szCs w:val="24"/>
        </w:rPr>
        <w:t>. Buku 1. Edisi 11. Jakarta: Salemba Empat.</w:t>
      </w:r>
    </w:p>
    <w:p w:rsidR="00FA043B" w:rsidRPr="00FA043B" w:rsidRDefault="00FA043B" w:rsidP="00FA043B">
      <w:pPr>
        <w:spacing w:after="120" w:line="23" w:lineRule="atLeast"/>
        <w:ind w:left="851" w:hanging="851"/>
        <w:jc w:val="both"/>
        <w:rPr>
          <w:sz w:val="24"/>
          <w:szCs w:val="24"/>
          <w:u w:val="single"/>
        </w:rPr>
      </w:pPr>
      <w:r w:rsidRPr="00FA043B">
        <w:rPr>
          <w:sz w:val="24"/>
          <w:szCs w:val="24"/>
        </w:rPr>
        <w:t xml:space="preserve">Budi Kho, (2019). </w:t>
      </w:r>
      <w:r w:rsidRPr="00FA043B">
        <w:rPr>
          <w:i/>
          <w:sz w:val="24"/>
          <w:szCs w:val="24"/>
        </w:rPr>
        <w:t xml:space="preserve">Pengertian Dividend Per share (DPS) </w:t>
      </w:r>
      <w:r w:rsidRPr="00FA043B">
        <w:rPr>
          <w:sz w:val="24"/>
          <w:szCs w:val="24"/>
        </w:rPr>
        <w:t>atau Dividen Per Saham dan cara menghitungnya</w:t>
      </w:r>
      <w:r w:rsidRPr="00FA043B">
        <w:rPr>
          <w:i/>
          <w:sz w:val="24"/>
          <w:szCs w:val="24"/>
        </w:rPr>
        <w:t xml:space="preserve"> Dividen Per Share </w:t>
      </w:r>
      <w:hyperlink r:id="rId10" w:history="1">
        <w:r w:rsidRPr="00FA043B">
          <w:rPr>
            <w:rStyle w:val="Hyperlink"/>
            <w:sz w:val="24"/>
            <w:szCs w:val="24"/>
          </w:rPr>
          <w:t>https://ilmumanajemenindustri.com/</w:t>
        </w:r>
      </w:hyperlink>
    </w:p>
    <w:p w:rsidR="00FA043B" w:rsidRPr="00FA043B" w:rsidRDefault="00FA043B" w:rsidP="00FA043B">
      <w:pPr>
        <w:spacing w:after="120" w:line="23" w:lineRule="atLeast"/>
        <w:ind w:left="851" w:hanging="851"/>
        <w:jc w:val="both"/>
        <w:rPr>
          <w:sz w:val="24"/>
          <w:szCs w:val="24"/>
        </w:rPr>
      </w:pPr>
      <w:r w:rsidRPr="00FA043B">
        <w:rPr>
          <w:sz w:val="24"/>
          <w:szCs w:val="24"/>
        </w:rPr>
        <w:t>Chandra, Harpono, Felicia. 2019</w:t>
      </w:r>
      <w:r w:rsidRPr="00FA043B">
        <w:rPr>
          <w:i/>
          <w:iCs/>
          <w:sz w:val="24"/>
          <w:szCs w:val="24"/>
        </w:rPr>
        <w:t>. Pengaruh DER, ROE, PER, EPS, dan DPS terhadap Harga Saham pada Perusahaan Sub Sektor Kesehatan dan Farmasi yang Terdaftar di BEI</w:t>
      </w:r>
      <w:r w:rsidRPr="00FA043B">
        <w:rPr>
          <w:sz w:val="24"/>
          <w:szCs w:val="24"/>
        </w:rPr>
        <w:t>.</w:t>
      </w:r>
    </w:p>
    <w:p w:rsidR="00FA043B" w:rsidRPr="00FA043B" w:rsidRDefault="00FA043B" w:rsidP="00FA043B">
      <w:pPr>
        <w:spacing w:after="120" w:line="23" w:lineRule="atLeast"/>
        <w:ind w:left="851" w:hanging="851"/>
        <w:jc w:val="both"/>
        <w:rPr>
          <w:sz w:val="24"/>
          <w:szCs w:val="24"/>
        </w:rPr>
      </w:pPr>
      <w:r w:rsidRPr="00FA043B">
        <w:rPr>
          <w:sz w:val="24"/>
          <w:szCs w:val="24"/>
        </w:rPr>
        <w:t xml:space="preserve">Darmadji dan M. Fakruddin,2006. </w:t>
      </w:r>
      <w:r w:rsidRPr="00FA043B">
        <w:rPr>
          <w:i/>
          <w:sz w:val="24"/>
          <w:szCs w:val="24"/>
        </w:rPr>
        <w:t>Pasar Modal Indonesia</w:t>
      </w:r>
      <w:r w:rsidRPr="00FA043B">
        <w:rPr>
          <w:sz w:val="24"/>
          <w:szCs w:val="24"/>
        </w:rPr>
        <w:t>. Jakarta, Salemba Empat.</w:t>
      </w:r>
    </w:p>
    <w:p w:rsidR="00FA043B" w:rsidRPr="00FA043B" w:rsidRDefault="00FA043B" w:rsidP="00FA043B">
      <w:pPr>
        <w:spacing w:after="120" w:line="23" w:lineRule="atLeast"/>
        <w:ind w:left="851" w:hanging="851"/>
        <w:jc w:val="both"/>
        <w:rPr>
          <w:sz w:val="24"/>
          <w:szCs w:val="24"/>
        </w:rPr>
      </w:pPr>
      <w:r w:rsidRPr="00FA043B">
        <w:rPr>
          <w:sz w:val="24"/>
          <w:szCs w:val="24"/>
        </w:rPr>
        <w:t xml:space="preserve">Fahmi, Irham. 2018. </w:t>
      </w:r>
      <w:r w:rsidRPr="00FA043B">
        <w:rPr>
          <w:i/>
          <w:iCs/>
          <w:sz w:val="24"/>
          <w:szCs w:val="24"/>
        </w:rPr>
        <w:t>Pengantar Manajemen Keuangan (Teori dan soal jawab)</w:t>
      </w:r>
      <w:r w:rsidRPr="00FA043B">
        <w:rPr>
          <w:sz w:val="24"/>
          <w:szCs w:val="24"/>
        </w:rPr>
        <w:t>. Alfabeta, Bandung.</w:t>
      </w:r>
    </w:p>
    <w:p w:rsidR="00FA043B" w:rsidRPr="00FA043B" w:rsidRDefault="00FA043B" w:rsidP="00FA043B">
      <w:pPr>
        <w:spacing w:after="120" w:line="23" w:lineRule="atLeast"/>
        <w:ind w:left="851" w:hanging="851"/>
        <w:jc w:val="both"/>
        <w:rPr>
          <w:sz w:val="24"/>
          <w:szCs w:val="24"/>
        </w:rPr>
      </w:pPr>
      <w:r w:rsidRPr="00FA043B">
        <w:rPr>
          <w:sz w:val="24"/>
          <w:szCs w:val="24"/>
        </w:rPr>
        <w:t xml:space="preserve">Fachruddin, dkk. 2022 </w:t>
      </w:r>
      <w:r w:rsidRPr="00FA043B">
        <w:rPr>
          <w:i/>
          <w:sz w:val="24"/>
          <w:szCs w:val="24"/>
        </w:rPr>
        <w:t>Pengaruh Earning Per Share dan Debt To Equity Ratio terhadap Harga Saham</w:t>
      </w:r>
      <w:r w:rsidRPr="00FA043B">
        <w:rPr>
          <w:sz w:val="24"/>
          <w:szCs w:val="24"/>
        </w:rPr>
        <w:t xml:space="preserve"> pada PT. Samindo Resources, Tbk. Jurnal Stie Tdn, Volume.5 No 2-Juli-193. ISSN 2656-2790. </w:t>
      </w:r>
      <w:hyperlink r:id="rId11" w:history="1">
        <w:r w:rsidRPr="00FA043B">
          <w:rPr>
            <w:rStyle w:val="Hyperlink"/>
            <w:sz w:val="24"/>
            <w:szCs w:val="24"/>
          </w:rPr>
          <w:t>http://ojs.stie-tdn.ac.id/index.php/mv</w:t>
        </w:r>
      </w:hyperlink>
      <w:r w:rsidRPr="00FA043B">
        <w:rPr>
          <w:sz w:val="24"/>
          <w:szCs w:val="24"/>
        </w:rPr>
        <w:t>.</w:t>
      </w:r>
    </w:p>
    <w:p w:rsidR="00FA043B" w:rsidRPr="00FA043B" w:rsidRDefault="00FA043B" w:rsidP="00FA043B">
      <w:pPr>
        <w:tabs>
          <w:tab w:val="left" w:pos="1365"/>
        </w:tabs>
        <w:spacing w:after="120" w:line="23" w:lineRule="atLeast"/>
        <w:jc w:val="both"/>
        <w:rPr>
          <w:i/>
          <w:sz w:val="24"/>
          <w:szCs w:val="24"/>
          <w:lang w:val="en-US"/>
        </w:rPr>
      </w:pPr>
      <w:r w:rsidRPr="00FA043B">
        <w:rPr>
          <w:sz w:val="24"/>
          <w:szCs w:val="24"/>
        </w:rPr>
        <w:t xml:space="preserve">Hidayat, Taufik. 2010. </w:t>
      </w:r>
      <w:r w:rsidRPr="00FA043B">
        <w:rPr>
          <w:i/>
          <w:sz w:val="24"/>
          <w:szCs w:val="24"/>
        </w:rPr>
        <w:t>Buku Pintar Investasi Media karta, Jakarta.</w:t>
      </w:r>
    </w:p>
    <w:p w:rsidR="00FA043B" w:rsidRPr="00FA043B" w:rsidRDefault="00FA043B" w:rsidP="00FA043B">
      <w:pPr>
        <w:spacing w:after="120" w:line="23" w:lineRule="atLeast"/>
        <w:ind w:left="851" w:hanging="851"/>
        <w:jc w:val="both"/>
        <w:rPr>
          <w:sz w:val="24"/>
          <w:szCs w:val="24"/>
          <w:lang w:val="id-ID"/>
        </w:rPr>
      </w:pPr>
      <w:r w:rsidRPr="00FA043B">
        <w:rPr>
          <w:sz w:val="24"/>
          <w:szCs w:val="24"/>
        </w:rPr>
        <w:t>Hasan Samsulrijal, dkk. 2022.</w:t>
      </w:r>
      <w:r w:rsidRPr="00FA043B">
        <w:rPr>
          <w:i/>
          <w:iCs/>
          <w:sz w:val="24"/>
          <w:szCs w:val="24"/>
        </w:rPr>
        <w:t xml:space="preserve"> Manajemen keuangan</w:t>
      </w:r>
      <w:r w:rsidRPr="00FA043B">
        <w:rPr>
          <w:sz w:val="24"/>
          <w:szCs w:val="24"/>
        </w:rPr>
        <w:t>. CV. Pena Persada, Purwokerto Selatan.</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Hayat, dkk. 2021. </w:t>
      </w:r>
      <w:r w:rsidRPr="00FA043B">
        <w:rPr>
          <w:rFonts w:eastAsia="Calibri"/>
          <w:i/>
          <w:iCs/>
          <w:sz w:val="24"/>
          <w:szCs w:val="24"/>
        </w:rPr>
        <w:t>Manajemen Keuangan</w:t>
      </w:r>
      <w:r w:rsidRPr="00FA043B">
        <w:rPr>
          <w:rFonts w:eastAsia="Calibri"/>
          <w:sz w:val="24"/>
          <w:szCs w:val="24"/>
        </w:rPr>
        <w:t>. Penerbitan Madenatera, Medan.</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Hermanto, dkk. 2019. </w:t>
      </w:r>
      <w:r w:rsidRPr="00FA043B">
        <w:rPr>
          <w:rFonts w:eastAsia="Calibri"/>
          <w:i/>
          <w:iCs/>
          <w:sz w:val="24"/>
          <w:szCs w:val="24"/>
        </w:rPr>
        <w:t>Analisis Laporan Keuangan</w:t>
      </w:r>
      <w:r w:rsidRPr="00FA043B">
        <w:rPr>
          <w:rFonts w:eastAsia="Calibri"/>
          <w:sz w:val="24"/>
          <w:szCs w:val="24"/>
        </w:rPr>
        <w:t>. Lentera Ilmu, Jakarta.</w:t>
      </w:r>
    </w:p>
    <w:p w:rsidR="00FA043B" w:rsidRPr="00FA043B" w:rsidRDefault="00FA043B" w:rsidP="00FA043B">
      <w:pPr>
        <w:spacing w:after="120" w:line="23" w:lineRule="atLeast"/>
        <w:ind w:left="851" w:hanging="851"/>
        <w:jc w:val="both"/>
        <w:rPr>
          <w:rFonts w:eastAsia="Calibri"/>
          <w:sz w:val="24"/>
          <w:szCs w:val="24"/>
        </w:rPr>
      </w:pPr>
      <w:r w:rsidRPr="00FA043B">
        <w:rPr>
          <w:sz w:val="24"/>
          <w:szCs w:val="24"/>
        </w:rPr>
        <w:t xml:space="preserve">Jumingan. 2017. </w:t>
      </w:r>
      <w:r w:rsidRPr="00FA043B">
        <w:rPr>
          <w:i/>
          <w:iCs/>
          <w:sz w:val="24"/>
          <w:szCs w:val="24"/>
        </w:rPr>
        <w:t xml:space="preserve">Analisis Laporan Keuangan. </w:t>
      </w:r>
      <w:r w:rsidRPr="00FA043B">
        <w:rPr>
          <w:sz w:val="24"/>
          <w:szCs w:val="24"/>
        </w:rPr>
        <w:t>Jakarta: PT. Bumi Aksara</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Karim Abdul, dkk. 2021. </w:t>
      </w:r>
      <w:r w:rsidRPr="00FA043B">
        <w:rPr>
          <w:rFonts w:eastAsia="Calibri"/>
          <w:i/>
          <w:iCs/>
          <w:sz w:val="24"/>
          <w:szCs w:val="24"/>
        </w:rPr>
        <w:t>Pengenalan Dasar-dasar Akuntansi dalam Berbagai Bidang</w:t>
      </w:r>
      <w:r w:rsidRPr="00FA043B">
        <w:rPr>
          <w:rFonts w:eastAsia="Calibri"/>
          <w:sz w:val="24"/>
          <w:szCs w:val="24"/>
        </w:rPr>
        <w:t>. Insania Team, Kesambi Cirebon.</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Kasmir, 2019. </w:t>
      </w:r>
      <w:r w:rsidRPr="00FA043B">
        <w:rPr>
          <w:rFonts w:eastAsia="Calibri"/>
          <w:i/>
          <w:iCs/>
          <w:sz w:val="24"/>
          <w:szCs w:val="24"/>
        </w:rPr>
        <w:t>Analisis Laporan Keuangan</w:t>
      </w:r>
      <w:r w:rsidRPr="00FA043B">
        <w:rPr>
          <w:rFonts w:eastAsia="Calibri"/>
          <w:sz w:val="24"/>
          <w:szCs w:val="24"/>
        </w:rPr>
        <w:t>, PT. RajaGrapindo Persada, Jakarta.</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 2017. </w:t>
      </w:r>
      <w:r w:rsidRPr="00FA043B">
        <w:rPr>
          <w:rFonts w:eastAsia="Calibri"/>
          <w:i/>
          <w:sz w:val="24"/>
          <w:szCs w:val="24"/>
        </w:rPr>
        <w:t>Analisis Laporan Keuangan</w:t>
      </w:r>
      <w:r w:rsidRPr="00FA043B">
        <w:rPr>
          <w:rFonts w:eastAsia="Calibri"/>
          <w:sz w:val="24"/>
          <w:szCs w:val="24"/>
        </w:rPr>
        <w:t>. Edisi 1-10. Rajawali, Jakarta.</w:t>
      </w:r>
    </w:p>
    <w:p w:rsidR="00FA043B" w:rsidRPr="00FA043B" w:rsidRDefault="00FA043B" w:rsidP="00FA043B">
      <w:pPr>
        <w:spacing w:after="120" w:line="23" w:lineRule="atLeast"/>
        <w:jc w:val="both"/>
        <w:rPr>
          <w:rFonts w:eastAsia="Calibri"/>
          <w:sz w:val="24"/>
          <w:szCs w:val="24"/>
        </w:rPr>
      </w:pPr>
      <w:r w:rsidRPr="00FA043B">
        <w:rPr>
          <w:rFonts w:eastAsia="Calibri"/>
          <w:sz w:val="24"/>
          <w:szCs w:val="24"/>
        </w:rPr>
        <w:lastRenderedPageBreak/>
        <w:t xml:space="preserve">Liembono, 2013. </w:t>
      </w:r>
      <w:r w:rsidRPr="00FA043B">
        <w:rPr>
          <w:rFonts w:eastAsia="Calibri"/>
          <w:i/>
          <w:sz w:val="24"/>
          <w:szCs w:val="24"/>
        </w:rPr>
        <w:t>Analisis Fundamental</w:t>
      </w:r>
      <w:r w:rsidRPr="00FA043B">
        <w:rPr>
          <w:rFonts w:eastAsia="Calibri"/>
          <w:sz w:val="24"/>
          <w:szCs w:val="24"/>
        </w:rPr>
        <w:t>. Brilliant, Surabaya.</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Lidyawati, Titik. 2018. </w:t>
      </w:r>
      <w:r w:rsidRPr="00FA043B">
        <w:rPr>
          <w:rFonts w:eastAsia="Calibri"/>
          <w:i/>
          <w:iCs/>
          <w:sz w:val="24"/>
          <w:szCs w:val="24"/>
        </w:rPr>
        <w:t>Pengaruh Dividend Per Share (DPS), Debt To Equity Ratio (DER), Price To Book Value (PBV), dan Return On Assets (ROA) terhadap Harga Saham pada Perusahaan Manufaktur yang terdaftar di Bursa Efek Indonesia periode 2014-2016</w:t>
      </w:r>
      <w:r w:rsidRPr="00FA043B">
        <w:rPr>
          <w:rFonts w:eastAsia="Calibri"/>
          <w:i/>
          <w:sz w:val="24"/>
          <w:szCs w:val="24"/>
        </w:rPr>
        <w:t>,</w:t>
      </w:r>
      <w:r w:rsidRPr="00FA043B">
        <w:rPr>
          <w:rFonts w:eastAsia="Calibri"/>
          <w:sz w:val="24"/>
          <w:szCs w:val="24"/>
        </w:rPr>
        <w:t xml:space="preserve"> Jurnal UniversitasNusantaraPGRIKediri.Simki.unpkediri.ac.id/mahasiswa/file_artikel/2016/11.101.10.0091.pdf.</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Lilianti, 2018. </w:t>
      </w:r>
      <w:r w:rsidRPr="00FA043B">
        <w:rPr>
          <w:rFonts w:eastAsia="Calibri"/>
          <w:i/>
          <w:iCs/>
          <w:sz w:val="24"/>
          <w:szCs w:val="24"/>
        </w:rPr>
        <w:t xml:space="preserve">Pengaruh Dividend Per Share </w:t>
      </w:r>
      <w:r w:rsidRPr="00FA043B">
        <w:rPr>
          <w:rFonts w:eastAsia="Calibri"/>
          <w:iCs/>
          <w:sz w:val="24"/>
          <w:szCs w:val="24"/>
        </w:rPr>
        <w:t xml:space="preserve">dan </w:t>
      </w:r>
      <w:r w:rsidRPr="00FA043B">
        <w:rPr>
          <w:rFonts w:eastAsia="Calibri"/>
          <w:i/>
          <w:iCs/>
          <w:sz w:val="24"/>
          <w:szCs w:val="24"/>
        </w:rPr>
        <w:t>Earning Per Share terhadap Harga Saham</w:t>
      </w:r>
      <w:r w:rsidRPr="00FA043B">
        <w:rPr>
          <w:rFonts w:eastAsia="Calibri"/>
          <w:sz w:val="24"/>
          <w:szCs w:val="24"/>
        </w:rPr>
        <w:t>. Fakultas ekonomi Universitas PGRI, Palembang.</w:t>
      </w:r>
    </w:p>
    <w:p w:rsidR="00FA043B" w:rsidRPr="00FA043B" w:rsidRDefault="00FA043B" w:rsidP="00FA043B">
      <w:pPr>
        <w:spacing w:after="120" w:line="23" w:lineRule="atLeast"/>
        <w:ind w:left="851" w:hanging="851"/>
        <w:jc w:val="both"/>
        <w:rPr>
          <w:rFonts w:eastAsia="Calibri"/>
          <w:sz w:val="24"/>
          <w:szCs w:val="24"/>
        </w:rPr>
      </w:pPr>
      <w:r w:rsidRPr="00FA043B">
        <w:rPr>
          <w:sz w:val="24"/>
          <w:szCs w:val="24"/>
        </w:rPr>
        <w:t xml:space="preserve">Maryati,. 2012. </w:t>
      </w:r>
      <w:r w:rsidRPr="00FA043B">
        <w:rPr>
          <w:i/>
          <w:sz w:val="24"/>
          <w:szCs w:val="24"/>
        </w:rPr>
        <w:t xml:space="preserve">Pengaruh Earning Per share </w:t>
      </w:r>
      <w:r w:rsidRPr="00FA043B">
        <w:rPr>
          <w:sz w:val="24"/>
          <w:szCs w:val="24"/>
        </w:rPr>
        <w:t xml:space="preserve">dan </w:t>
      </w:r>
      <w:r w:rsidRPr="00FA043B">
        <w:rPr>
          <w:i/>
          <w:sz w:val="24"/>
          <w:szCs w:val="24"/>
        </w:rPr>
        <w:t xml:space="preserve">Dividend Per Share Terhadap Harga Saham. </w:t>
      </w:r>
      <w:r w:rsidRPr="00FA043B">
        <w:rPr>
          <w:sz w:val="24"/>
          <w:szCs w:val="24"/>
        </w:rPr>
        <w:t>Universitas Negeri Yogyakarta</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Mulyawan, Setiawan. 2015. </w:t>
      </w:r>
      <w:r w:rsidRPr="00FA043B">
        <w:rPr>
          <w:rFonts w:eastAsia="Calibri"/>
          <w:i/>
          <w:iCs/>
          <w:sz w:val="24"/>
          <w:szCs w:val="24"/>
        </w:rPr>
        <w:t>Manajemen Keuangan</w:t>
      </w:r>
      <w:r w:rsidRPr="00FA043B">
        <w:rPr>
          <w:rFonts w:eastAsia="Calibri"/>
          <w:sz w:val="24"/>
          <w:szCs w:val="24"/>
        </w:rPr>
        <w:t>. Pustaka Setia, Bandung.</w:t>
      </w:r>
    </w:p>
    <w:p w:rsidR="00FA043B" w:rsidRPr="00FA043B" w:rsidRDefault="00FA043B" w:rsidP="00FA043B">
      <w:pPr>
        <w:spacing w:after="120" w:line="23" w:lineRule="atLeast"/>
        <w:ind w:left="851" w:hanging="851"/>
        <w:jc w:val="both"/>
        <w:rPr>
          <w:rFonts w:eastAsia="Calibri"/>
          <w:i/>
          <w:sz w:val="24"/>
          <w:szCs w:val="24"/>
        </w:rPr>
      </w:pPr>
      <w:r w:rsidRPr="00FA043B">
        <w:rPr>
          <w:rFonts w:eastAsia="Calibri"/>
          <w:sz w:val="24"/>
          <w:szCs w:val="24"/>
        </w:rPr>
        <w:t>Maulana, 2014.</w:t>
      </w:r>
      <w:r w:rsidRPr="00FA043B">
        <w:rPr>
          <w:rFonts w:eastAsia="Calibri"/>
          <w:i/>
          <w:sz w:val="24"/>
          <w:szCs w:val="24"/>
        </w:rPr>
        <w:t>Implementasi E-commerce Sebagai Media Penjualan Online. Jurnal Administrasi Bisnis, 29(1), 1-9.</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Prakasa, Fachreza Bima. 2018. </w:t>
      </w:r>
      <w:r w:rsidRPr="00FA043B">
        <w:rPr>
          <w:rFonts w:eastAsia="Calibri"/>
          <w:i/>
          <w:iCs/>
          <w:sz w:val="24"/>
          <w:szCs w:val="24"/>
        </w:rPr>
        <w:t>Pengaruh DPS, NPM, dan DER Terhadap Harga Saham. Jurnal Ilmu Riset Manajemen</w:t>
      </w:r>
      <w:r w:rsidRPr="00FA043B">
        <w:rPr>
          <w:rFonts w:eastAsia="Calibri"/>
          <w:sz w:val="24"/>
          <w:szCs w:val="24"/>
        </w:rPr>
        <w:t xml:space="preserve">, Volume 7. e-ISSN:  2461-0593. </w:t>
      </w:r>
      <w:hyperlink r:id="rId12" w:history="1">
        <w:r w:rsidRPr="00FA043B">
          <w:rPr>
            <w:rStyle w:val="Hyperlink"/>
            <w:rFonts w:eastAsia="Calibri"/>
            <w:sz w:val="24"/>
            <w:szCs w:val="24"/>
          </w:rPr>
          <w:t>https://Jurnal</w:t>
        </w:r>
      </w:hyperlink>
      <w:r w:rsidRPr="00FA043B">
        <w:rPr>
          <w:rFonts w:eastAsia="Calibri"/>
          <w:sz w:val="24"/>
          <w:szCs w:val="24"/>
        </w:rPr>
        <w:t xml:space="preserve"> Mahasiswa. Stiesia.ac.id/index.php/jirm.</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Riyanto, 2021. </w:t>
      </w:r>
      <w:r w:rsidRPr="00FA043B">
        <w:rPr>
          <w:rFonts w:eastAsia="Calibri"/>
          <w:i/>
          <w:sz w:val="24"/>
          <w:szCs w:val="24"/>
        </w:rPr>
        <w:t>Manajemen Keuangan. CV. Batam Publiser</w:t>
      </w:r>
      <w:r w:rsidRPr="00FA043B">
        <w:rPr>
          <w:rFonts w:eastAsia="Calibri"/>
          <w:sz w:val="24"/>
          <w:szCs w:val="24"/>
        </w:rPr>
        <w:t>. Indonesia, Riau.</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Sujarweni, 2017. </w:t>
      </w:r>
      <w:r w:rsidRPr="00FA043B">
        <w:rPr>
          <w:rFonts w:eastAsia="Calibri"/>
          <w:i/>
          <w:sz w:val="24"/>
          <w:szCs w:val="24"/>
        </w:rPr>
        <w:t>Analisis Laporan Keuangan, Teori, Aplikasi dan Hasil Penelitian.</w:t>
      </w:r>
      <w:r w:rsidRPr="00FA043B">
        <w:rPr>
          <w:rFonts w:eastAsia="Calibri"/>
          <w:sz w:val="24"/>
          <w:szCs w:val="24"/>
        </w:rPr>
        <w:t xml:space="preserve"> Yogyakarta, Pustaka Baru Press.</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Sari, Khofifah Indah. Dkk, 2023. </w:t>
      </w:r>
      <w:r w:rsidRPr="00FA043B">
        <w:rPr>
          <w:rFonts w:eastAsia="Calibri"/>
          <w:i/>
          <w:sz w:val="24"/>
          <w:szCs w:val="24"/>
        </w:rPr>
        <w:t>Pengaruh ROA, EPS, DER Terhadap Harga Saham Pada Perusahaan Sub Sektor Rokok tbk</w:t>
      </w:r>
      <w:r w:rsidRPr="00FA043B">
        <w:rPr>
          <w:rFonts w:eastAsia="Calibri"/>
          <w:sz w:val="24"/>
          <w:szCs w:val="24"/>
        </w:rPr>
        <w:t xml:space="preserve">. </w:t>
      </w:r>
      <w:r w:rsidRPr="00FA043B">
        <w:rPr>
          <w:rFonts w:eastAsia="Calibri"/>
          <w:i/>
          <w:sz w:val="24"/>
          <w:szCs w:val="24"/>
        </w:rPr>
        <w:t>Periode 2014-2021</w:t>
      </w:r>
      <w:r w:rsidRPr="00FA043B">
        <w:rPr>
          <w:rFonts w:eastAsia="Calibri"/>
          <w:sz w:val="24"/>
          <w:szCs w:val="24"/>
        </w:rPr>
        <w:t xml:space="preserve">. </w:t>
      </w:r>
      <w:r w:rsidRPr="00FA043B">
        <w:rPr>
          <w:rFonts w:eastAsia="Calibri"/>
          <w:i/>
          <w:sz w:val="24"/>
          <w:szCs w:val="24"/>
        </w:rPr>
        <w:t>Jurnal Ekonomi, Bisnis, dan Sosial</w:t>
      </w:r>
      <w:r w:rsidRPr="00FA043B">
        <w:rPr>
          <w:rFonts w:eastAsia="Calibri"/>
          <w:sz w:val="24"/>
          <w:szCs w:val="24"/>
        </w:rPr>
        <w:t>. Vol. 1 ,No. 1 April 2023.e-ISSN:-; p=ISSN:-, Hal 1-10.</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Sunariyah, 2011, </w:t>
      </w:r>
      <w:r w:rsidRPr="00FA043B">
        <w:rPr>
          <w:rFonts w:eastAsia="Calibri"/>
          <w:i/>
          <w:sz w:val="24"/>
          <w:szCs w:val="24"/>
        </w:rPr>
        <w:t>Pengantar Pengetahuan Pasar Modal</w:t>
      </w:r>
      <w:r w:rsidRPr="00FA043B">
        <w:rPr>
          <w:rFonts w:eastAsia="Calibri"/>
          <w:sz w:val="24"/>
          <w:szCs w:val="24"/>
        </w:rPr>
        <w:t>. Yogyakarta, UPP STIM YKPN.</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Sutrisno, 2017. </w:t>
      </w:r>
      <w:r w:rsidRPr="00FA043B">
        <w:rPr>
          <w:rFonts w:eastAsia="Calibri"/>
          <w:i/>
          <w:sz w:val="24"/>
          <w:szCs w:val="24"/>
        </w:rPr>
        <w:t>Manajemen Keuangan Teori, Konsep dan Aplikasi, Ekonisia</w:t>
      </w:r>
      <w:r w:rsidRPr="00FA043B">
        <w:rPr>
          <w:rFonts w:eastAsia="Calibri"/>
          <w:sz w:val="24"/>
          <w:szCs w:val="24"/>
        </w:rPr>
        <w:t>, Yogyakarta.</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Sudaryati, 2017. </w:t>
      </w:r>
      <w:r w:rsidRPr="00FA043B">
        <w:rPr>
          <w:rFonts w:eastAsia="Calibri"/>
          <w:i/>
          <w:iCs/>
          <w:sz w:val="24"/>
          <w:szCs w:val="24"/>
        </w:rPr>
        <w:t>Pengaruh DER, EPS, DPS, dan PBV Terhadap Harga Saham Perusahaan Indeks LQ-45</w:t>
      </w:r>
      <w:r w:rsidRPr="00FA043B">
        <w:rPr>
          <w:rFonts w:eastAsia="Calibri"/>
          <w:i/>
          <w:sz w:val="24"/>
          <w:szCs w:val="24"/>
        </w:rPr>
        <w:t>.</w:t>
      </w:r>
      <w:r w:rsidRPr="00FA043B">
        <w:rPr>
          <w:rFonts w:eastAsia="Calibri"/>
          <w:sz w:val="24"/>
          <w:szCs w:val="24"/>
        </w:rPr>
        <w:t xml:space="preserve"> Jurnal Kajian Akuntansi, Volume 12 Nomor 2. eprints.upnyk.ac.id.</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Suryanto, dkk. 2021. </w:t>
      </w:r>
      <w:r w:rsidRPr="00FA043B">
        <w:rPr>
          <w:rFonts w:eastAsia="Calibri"/>
          <w:i/>
          <w:iCs/>
          <w:sz w:val="24"/>
          <w:szCs w:val="24"/>
        </w:rPr>
        <w:t>Dasar-Dasar Manajemen Keuangan</w:t>
      </w:r>
      <w:r w:rsidRPr="00FA043B">
        <w:rPr>
          <w:rFonts w:eastAsia="Calibri"/>
          <w:sz w:val="24"/>
          <w:szCs w:val="24"/>
        </w:rPr>
        <w:t>. CV. Media Sains Indonesia, Bandung.</w:t>
      </w:r>
    </w:p>
    <w:p w:rsidR="00FA043B" w:rsidRPr="00FA043B" w:rsidRDefault="00FA043B" w:rsidP="00FA043B">
      <w:pPr>
        <w:spacing w:after="120" w:line="23" w:lineRule="atLeast"/>
        <w:ind w:left="851" w:hanging="851"/>
        <w:jc w:val="both"/>
        <w:rPr>
          <w:rFonts w:eastAsia="Calibri"/>
          <w:sz w:val="24"/>
          <w:szCs w:val="24"/>
        </w:rPr>
      </w:pPr>
      <w:r w:rsidRPr="00FA043B">
        <w:rPr>
          <w:rFonts w:eastAsia="Calibri"/>
          <w:sz w:val="24"/>
          <w:szCs w:val="24"/>
        </w:rPr>
        <w:t xml:space="preserve">Sujarweni, V. Wiratna. 2019. </w:t>
      </w:r>
      <w:r w:rsidRPr="00FA043B">
        <w:rPr>
          <w:rFonts w:eastAsia="Calibri"/>
          <w:i/>
          <w:sz w:val="24"/>
          <w:szCs w:val="24"/>
        </w:rPr>
        <w:t>Analisis Laporan Keuangan Teori, Aplikasi, dan Hasil Penelitian,</w:t>
      </w:r>
      <w:r w:rsidRPr="00FA043B">
        <w:rPr>
          <w:rFonts w:eastAsia="Calibri"/>
          <w:sz w:val="24"/>
          <w:szCs w:val="24"/>
        </w:rPr>
        <w:t xml:space="preserve"> Yogyakarta: Pustaka Baru Press.</w:t>
      </w:r>
    </w:p>
    <w:p w:rsidR="00FA043B" w:rsidRPr="00FA043B" w:rsidRDefault="00FA043B" w:rsidP="00FA043B">
      <w:pPr>
        <w:spacing w:after="120" w:line="23" w:lineRule="atLeast"/>
        <w:ind w:left="851" w:hanging="851"/>
        <w:jc w:val="both"/>
        <w:rPr>
          <w:rFonts w:eastAsiaTheme="minorHAnsi"/>
          <w:sz w:val="24"/>
          <w:szCs w:val="24"/>
        </w:rPr>
      </w:pPr>
      <w:r w:rsidRPr="00FA043B">
        <w:rPr>
          <w:sz w:val="24"/>
          <w:szCs w:val="24"/>
        </w:rPr>
        <w:t xml:space="preserve">Sofyan, Ibnu Dwi Panca dkk. </w:t>
      </w:r>
      <w:r w:rsidRPr="00FA043B">
        <w:rPr>
          <w:i/>
          <w:sz w:val="24"/>
          <w:szCs w:val="24"/>
        </w:rPr>
        <w:t xml:space="preserve">Pengaruh Return On Asset (ROA) dan Dividend Per Share (DPS) Terhadap Harga Saham. (Perusahaan Sub Sektor Food and Beverages Yang Terdaftar di Bursa Efek Indonesia tahun 2015-2019). </w:t>
      </w:r>
      <w:r w:rsidRPr="00FA043B">
        <w:rPr>
          <w:sz w:val="24"/>
          <w:szCs w:val="24"/>
        </w:rPr>
        <w:t>Jurnal Ilmiah Mahasiswa Akuntansi.VOL.2, NO. 3, September 2022.</w:t>
      </w:r>
    </w:p>
    <w:p w:rsidR="00FA043B" w:rsidRPr="00FA043B" w:rsidRDefault="00FA043B" w:rsidP="00FA043B">
      <w:pPr>
        <w:adjustRightInd w:val="0"/>
        <w:spacing w:after="120" w:line="23" w:lineRule="atLeast"/>
        <w:jc w:val="both"/>
        <w:rPr>
          <w:sz w:val="24"/>
          <w:szCs w:val="24"/>
        </w:rPr>
      </w:pPr>
      <w:r w:rsidRPr="00FA043B">
        <w:rPr>
          <w:sz w:val="24"/>
          <w:szCs w:val="24"/>
        </w:rPr>
        <w:t xml:space="preserve">Sartono, Agus. 2018. </w:t>
      </w:r>
      <w:r w:rsidRPr="00FA043B">
        <w:rPr>
          <w:i/>
          <w:iCs/>
          <w:sz w:val="24"/>
          <w:szCs w:val="24"/>
        </w:rPr>
        <w:t xml:space="preserve">Manajemen Keuangan Teori dan Aplikasi. </w:t>
      </w:r>
      <w:r w:rsidRPr="00FA043B">
        <w:rPr>
          <w:sz w:val="24"/>
          <w:szCs w:val="24"/>
        </w:rPr>
        <w:t>Edisi</w:t>
      </w:r>
    </w:p>
    <w:p w:rsidR="00FA043B" w:rsidRPr="00FA043B" w:rsidRDefault="00FA043B" w:rsidP="00FA043B">
      <w:pPr>
        <w:spacing w:after="120" w:line="23" w:lineRule="atLeast"/>
        <w:ind w:left="851" w:hanging="131"/>
        <w:jc w:val="both"/>
        <w:rPr>
          <w:sz w:val="24"/>
          <w:szCs w:val="24"/>
        </w:rPr>
      </w:pPr>
      <w:r w:rsidRPr="00FA043B">
        <w:rPr>
          <w:sz w:val="24"/>
          <w:szCs w:val="24"/>
        </w:rPr>
        <w:t xml:space="preserve">    Keempat. BPFE, Yogyakarta</w:t>
      </w:r>
    </w:p>
    <w:p w:rsidR="00FA043B" w:rsidRPr="00FA043B" w:rsidRDefault="00FA043B" w:rsidP="00FA043B">
      <w:pPr>
        <w:spacing w:after="120" w:line="23" w:lineRule="atLeast"/>
        <w:ind w:left="851" w:hanging="851"/>
        <w:jc w:val="both"/>
        <w:rPr>
          <w:sz w:val="24"/>
          <w:szCs w:val="24"/>
        </w:rPr>
      </w:pPr>
    </w:p>
    <w:p w:rsidR="00FA043B" w:rsidRPr="00FA043B" w:rsidRDefault="00FA043B" w:rsidP="00FA043B">
      <w:pPr>
        <w:spacing w:after="120" w:line="23" w:lineRule="atLeast"/>
        <w:ind w:left="851" w:hanging="851"/>
        <w:jc w:val="both"/>
        <w:rPr>
          <w:sz w:val="24"/>
          <w:szCs w:val="24"/>
        </w:rPr>
      </w:pPr>
      <w:r w:rsidRPr="00FA043B">
        <w:rPr>
          <w:sz w:val="24"/>
          <w:szCs w:val="24"/>
        </w:rPr>
        <w:t xml:space="preserve">Trijono, Rahmat. 2015. </w:t>
      </w:r>
      <w:r w:rsidRPr="00FA043B">
        <w:rPr>
          <w:i/>
          <w:sz w:val="24"/>
          <w:szCs w:val="24"/>
        </w:rPr>
        <w:t>Metodologi Penelitian Kuantitatif</w:t>
      </w:r>
      <w:r w:rsidRPr="00FA043B">
        <w:rPr>
          <w:sz w:val="24"/>
          <w:szCs w:val="24"/>
        </w:rPr>
        <w:t>. Papas Sinar Sinanti, Depok.</w:t>
      </w:r>
    </w:p>
    <w:p w:rsidR="00FA043B" w:rsidRPr="00FA043B" w:rsidRDefault="00FA043B" w:rsidP="00FA043B">
      <w:pPr>
        <w:spacing w:after="120" w:line="23" w:lineRule="atLeast"/>
        <w:ind w:left="851" w:hanging="851"/>
        <w:jc w:val="both"/>
        <w:rPr>
          <w:sz w:val="24"/>
          <w:szCs w:val="24"/>
        </w:rPr>
      </w:pPr>
      <w:r w:rsidRPr="00FA043B">
        <w:rPr>
          <w:sz w:val="24"/>
          <w:szCs w:val="24"/>
        </w:rPr>
        <w:t xml:space="preserve">Umam, dkk. 2017. </w:t>
      </w:r>
      <w:r w:rsidRPr="00FA043B">
        <w:rPr>
          <w:i/>
          <w:sz w:val="24"/>
          <w:szCs w:val="24"/>
        </w:rPr>
        <w:t>Manajemen Investasi</w:t>
      </w:r>
      <w:r w:rsidRPr="00FA043B">
        <w:rPr>
          <w:sz w:val="24"/>
          <w:szCs w:val="24"/>
        </w:rPr>
        <w:t xml:space="preserve"> CV. Pustaka Saetia, Bandung</w:t>
      </w:r>
    </w:p>
    <w:p w:rsidR="00FA043B" w:rsidRDefault="00FA043B" w:rsidP="00FA043B">
      <w:pPr>
        <w:pStyle w:val="BodyText"/>
        <w:spacing w:before="272" w:line="23" w:lineRule="atLeast"/>
        <w:ind w:left="821" w:right="116" w:hanging="721"/>
        <w:jc w:val="both"/>
      </w:pPr>
    </w:p>
    <w:p w:rsidR="00FA043B" w:rsidRDefault="00FA043B" w:rsidP="00FA043B">
      <w:pPr>
        <w:pStyle w:val="BodyText"/>
        <w:spacing w:before="272" w:line="23" w:lineRule="atLeast"/>
        <w:ind w:left="821" w:right="116" w:hanging="721"/>
        <w:jc w:val="both"/>
      </w:pPr>
    </w:p>
    <w:p w:rsidR="003E1EFB" w:rsidRDefault="003E1EFB" w:rsidP="00FA043B">
      <w:pPr>
        <w:pStyle w:val="BodyText"/>
        <w:spacing w:before="272" w:line="23" w:lineRule="atLeast"/>
        <w:ind w:left="821" w:right="116" w:hanging="721"/>
        <w:jc w:val="both"/>
      </w:pPr>
      <w:r>
        <w:lastRenderedPageBreak/>
        <w:t xml:space="preserve">Lidyawati Titik (2018). Pengaruh </w:t>
      </w:r>
      <w:r w:rsidRPr="00E14396">
        <w:rPr>
          <w:i/>
        </w:rPr>
        <w:t>Dividend Per Share</w:t>
      </w:r>
      <w:r>
        <w:t xml:space="preserve"> (DPS), </w:t>
      </w:r>
      <w:r w:rsidRPr="00E14396">
        <w:rPr>
          <w:i/>
        </w:rPr>
        <w:t>Debt To Equity Ratio</w:t>
      </w:r>
      <w:r>
        <w:t xml:space="preserve"> (DER), </w:t>
      </w:r>
      <w:r w:rsidRPr="00E14396">
        <w:rPr>
          <w:i/>
        </w:rPr>
        <w:t>Price to book value</w:t>
      </w:r>
      <w:r>
        <w:t xml:space="preserve"> (PBV), dan </w:t>
      </w:r>
      <w:r w:rsidRPr="00E14396">
        <w:rPr>
          <w:i/>
        </w:rPr>
        <w:t>Return On Asset</w:t>
      </w:r>
      <w:r>
        <w:t xml:space="preserve"> (ROA) terhadap harga saham pada perusahaan manufaktur yang terdaftar di Bursa Efek Indonesia periode 2014-2016, Jurnal Universitas Nusantara PGRI Kediri.</w:t>
      </w:r>
    </w:p>
    <w:p w:rsidR="003E1EFB" w:rsidRDefault="003E1EFB" w:rsidP="00FA043B">
      <w:pPr>
        <w:pStyle w:val="BodyText"/>
        <w:spacing w:before="1" w:line="23" w:lineRule="atLeast"/>
        <w:ind w:left="821" w:right="119" w:hanging="721"/>
        <w:jc w:val="both"/>
      </w:pPr>
      <w:r>
        <w:t>Prakasa, Fachreza Bima (2018). Pengaruh DPS, NPM, dan DER terhadap harga saham. Jurnal ilmu riset manajemen, volume 7. E-ISSN:2461-0593.</w:t>
      </w:r>
    </w:p>
    <w:p w:rsidR="003E1EFB" w:rsidRDefault="003E1EFB" w:rsidP="00FA043B">
      <w:pPr>
        <w:spacing w:line="23" w:lineRule="atLeast"/>
        <w:ind w:left="100"/>
        <w:jc w:val="both"/>
        <w:rPr>
          <w:sz w:val="24"/>
        </w:rPr>
      </w:pPr>
      <w:r>
        <w:rPr>
          <w:sz w:val="24"/>
        </w:rPr>
        <w:t>Fahmi,</w:t>
      </w:r>
      <w:r>
        <w:rPr>
          <w:spacing w:val="-4"/>
          <w:sz w:val="24"/>
        </w:rPr>
        <w:t xml:space="preserve"> </w:t>
      </w:r>
      <w:r>
        <w:rPr>
          <w:sz w:val="24"/>
        </w:rPr>
        <w:t>Irham.</w:t>
      </w:r>
      <w:r>
        <w:rPr>
          <w:spacing w:val="-2"/>
          <w:sz w:val="24"/>
        </w:rPr>
        <w:t xml:space="preserve"> </w:t>
      </w:r>
      <w:r>
        <w:rPr>
          <w:sz w:val="24"/>
        </w:rPr>
        <w:t>2017.</w:t>
      </w:r>
      <w:r>
        <w:rPr>
          <w:spacing w:val="1"/>
          <w:sz w:val="24"/>
        </w:rPr>
        <w:t xml:space="preserve"> </w:t>
      </w:r>
      <w:r>
        <w:rPr>
          <w:i/>
          <w:sz w:val="24"/>
        </w:rPr>
        <w:t>Analisis</w:t>
      </w:r>
      <w:r>
        <w:rPr>
          <w:i/>
          <w:spacing w:val="-4"/>
          <w:sz w:val="24"/>
        </w:rPr>
        <w:t xml:space="preserve"> </w:t>
      </w:r>
      <w:r>
        <w:rPr>
          <w:i/>
          <w:sz w:val="24"/>
        </w:rPr>
        <w:t>Laporan</w:t>
      </w:r>
      <w:r>
        <w:rPr>
          <w:i/>
          <w:spacing w:val="-2"/>
          <w:sz w:val="24"/>
        </w:rPr>
        <w:t xml:space="preserve"> </w:t>
      </w:r>
      <w:r>
        <w:rPr>
          <w:i/>
          <w:sz w:val="24"/>
        </w:rPr>
        <w:t>Keuangan.</w:t>
      </w:r>
      <w:r>
        <w:rPr>
          <w:i/>
          <w:spacing w:val="1"/>
          <w:sz w:val="24"/>
        </w:rPr>
        <w:t xml:space="preserve"> </w:t>
      </w:r>
      <w:r>
        <w:rPr>
          <w:sz w:val="24"/>
        </w:rPr>
        <w:t>Bandung</w:t>
      </w:r>
      <w:r>
        <w:rPr>
          <w:spacing w:val="-3"/>
          <w:sz w:val="24"/>
        </w:rPr>
        <w:t xml:space="preserve"> </w:t>
      </w:r>
      <w:r>
        <w:rPr>
          <w:sz w:val="24"/>
        </w:rPr>
        <w:t>:</w:t>
      </w:r>
      <w:r>
        <w:rPr>
          <w:spacing w:val="-4"/>
          <w:sz w:val="24"/>
        </w:rPr>
        <w:t xml:space="preserve"> </w:t>
      </w:r>
      <w:r>
        <w:rPr>
          <w:spacing w:val="-2"/>
          <w:sz w:val="24"/>
        </w:rPr>
        <w:t>Alfabeta</w:t>
      </w:r>
    </w:p>
    <w:p w:rsidR="003E1EFB" w:rsidRPr="003E1EFB" w:rsidRDefault="003E1EFB" w:rsidP="00FA043B">
      <w:pPr>
        <w:spacing w:line="23" w:lineRule="atLeast"/>
        <w:ind w:left="100"/>
        <w:jc w:val="both"/>
        <w:rPr>
          <w:sz w:val="24"/>
        </w:rPr>
      </w:pPr>
      <w:r>
        <w:rPr>
          <w:sz w:val="24"/>
        </w:rPr>
        <w:t xml:space="preserve">Surtisno, (2017) </w:t>
      </w:r>
      <w:r w:rsidRPr="003E1EFB">
        <w:rPr>
          <w:i/>
          <w:sz w:val="24"/>
        </w:rPr>
        <w:t>Manajemen Keuangan Teori, Konsep aplikasi, Ekonisia</w:t>
      </w:r>
      <w:r>
        <w:rPr>
          <w:sz w:val="24"/>
        </w:rPr>
        <w:t>, Yogyakarta.</w:t>
      </w:r>
    </w:p>
    <w:p w:rsidR="00D57F69" w:rsidRDefault="003E1EFB" w:rsidP="00B40E26">
      <w:pPr>
        <w:spacing w:before="1" w:line="23" w:lineRule="atLeast"/>
        <w:ind w:left="821" w:right="119" w:hanging="721"/>
        <w:jc w:val="both"/>
      </w:pPr>
      <w:r>
        <w:rPr>
          <w:sz w:val="24"/>
        </w:rPr>
        <w:t xml:space="preserve">Kasmir. 2019. </w:t>
      </w:r>
      <w:r>
        <w:rPr>
          <w:i/>
          <w:sz w:val="24"/>
        </w:rPr>
        <w:t xml:space="preserve">Analisis Laporan Keuangan. Cetakan Keempat. </w:t>
      </w:r>
      <w:r>
        <w:rPr>
          <w:sz w:val="24"/>
        </w:rPr>
        <w:t>J</w:t>
      </w:r>
      <w:r w:rsidR="00B40E26">
        <w:rPr>
          <w:sz w:val="24"/>
        </w:rPr>
        <w:t>akarta :PT Raja Grafindo Persad</w:t>
      </w:r>
      <w:r>
        <w:rPr>
          <w:sz w:val="24"/>
        </w:rPr>
        <w:t>a.</w:t>
      </w:r>
    </w:p>
    <w:sectPr w:rsidR="00D57F69">
      <w:pgSz w:w="11910" w:h="16840"/>
      <w:pgMar w:top="1620" w:right="1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232" w:rsidRDefault="008E5232">
      <w:r>
        <w:separator/>
      </w:r>
    </w:p>
  </w:endnote>
  <w:endnote w:type="continuationSeparator" w:id="0">
    <w:p w:rsidR="008E5232" w:rsidRDefault="008E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232" w:rsidRDefault="008E5232">
      <w:r>
        <w:separator/>
      </w:r>
    </w:p>
  </w:footnote>
  <w:footnote w:type="continuationSeparator" w:id="0">
    <w:p w:rsidR="008E5232" w:rsidRDefault="008E5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E306ED"/>
    <w:multiLevelType w:val="multilevel"/>
    <w:tmpl w:val="B5E306ED"/>
    <w:lvl w:ilvl="0">
      <w:start w:val="1"/>
      <w:numFmt w:val="lowerLetter"/>
      <w:lvlText w:val="%1."/>
      <w:lvlJc w:val="left"/>
      <w:pPr>
        <w:ind w:left="528"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1340" w:hanging="361"/>
      </w:pPr>
      <w:rPr>
        <w:rFonts w:hint="default"/>
        <w:lang w:val="id" w:eastAsia="en-US" w:bidi="ar-SA"/>
      </w:rPr>
    </w:lvl>
    <w:lvl w:ilvl="2">
      <w:numFmt w:val="bullet"/>
      <w:lvlText w:val="•"/>
      <w:lvlJc w:val="left"/>
      <w:pPr>
        <w:ind w:left="2161" w:hanging="361"/>
      </w:pPr>
      <w:rPr>
        <w:rFonts w:hint="default"/>
        <w:lang w:val="id" w:eastAsia="en-US" w:bidi="ar-SA"/>
      </w:rPr>
    </w:lvl>
    <w:lvl w:ilvl="3">
      <w:numFmt w:val="bullet"/>
      <w:lvlText w:val="•"/>
      <w:lvlJc w:val="left"/>
      <w:pPr>
        <w:ind w:left="2982" w:hanging="361"/>
      </w:pPr>
      <w:rPr>
        <w:rFonts w:hint="default"/>
        <w:lang w:val="id" w:eastAsia="en-US" w:bidi="ar-SA"/>
      </w:rPr>
    </w:lvl>
    <w:lvl w:ilvl="4">
      <w:numFmt w:val="bullet"/>
      <w:lvlText w:val="•"/>
      <w:lvlJc w:val="left"/>
      <w:pPr>
        <w:ind w:left="3803" w:hanging="361"/>
      </w:pPr>
      <w:rPr>
        <w:rFonts w:hint="default"/>
        <w:lang w:val="id" w:eastAsia="en-US" w:bidi="ar-SA"/>
      </w:rPr>
    </w:lvl>
    <w:lvl w:ilvl="5">
      <w:numFmt w:val="bullet"/>
      <w:lvlText w:val="•"/>
      <w:lvlJc w:val="left"/>
      <w:pPr>
        <w:ind w:left="4624" w:hanging="361"/>
      </w:pPr>
      <w:rPr>
        <w:rFonts w:hint="default"/>
        <w:lang w:val="id" w:eastAsia="en-US" w:bidi="ar-SA"/>
      </w:rPr>
    </w:lvl>
    <w:lvl w:ilvl="6">
      <w:numFmt w:val="bullet"/>
      <w:lvlText w:val="•"/>
      <w:lvlJc w:val="left"/>
      <w:pPr>
        <w:ind w:left="5444" w:hanging="361"/>
      </w:pPr>
      <w:rPr>
        <w:rFonts w:hint="default"/>
        <w:lang w:val="id" w:eastAsia="en-US" w:bidi="ar-SA"/>
      </w:rPr>
    </w:lvl>
    <w:lvl w:ilvl="7">
      <w:numFmt w:val="bullet"/>
      <w:lvlText w:val="•"/>
      <w:lvlJc w:val="left"/>
      <w:pPr>
        <w:ind w:left="6265" w:hanging="361"/>
      </w:pPr>
      <w:rPr>
        <w:rFonts w:hint="default"/>
        <w:lang w:val="id" w:eastAsia="en-US" w:bidi="ar-SA"/>
      </w:rPr>
    </w:lvl>
    <w:lvl w:ilvl="8">
      <w:numFmt w:val="bullet"/>
      <w:lvlText w:val="•"/>
      <w:lvlJc w:val="left"/>
      <w:pPr>
        <w:ind w:left="7086" w:hanging="361"/>
      </w:pPr>
      <w:rPr>
        <w:rFonts w:hint="default"/>
        <w:lang w:val="id" w:eastAsia="en-US" w:bidi="ar-SA"/>
      </w:rPr>
    </w:lvl>
  </w:abstractNum>
  <w:abstractNum w:abstractNumId="1" w15:restartNumberingAfterBreak="0">
    <w:nsid w:val="BF205925"/>
    <w:multiLevelType w:val="multilevel"/>
    <w:tmpl w:val="BF205925"/>
    <w:lvl w:ilvl="0">
      <w:start w:val="1"/>
      <w:numFmt w:val="lowerLetter"/>
      <w:lvlText w:val="%1."/>
      <w:lvlJc w:val="left"/>
      <w:pPr>
        <w:ind w:left="384"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1214" w:hanging="284"/>
      </w:pPr>
      <w:rPr>
        <w:rFonts w:hint="default"/>
        <w:lang w:val="id" w:eastAsia="en-US" w:bidi="ar-SA"/>
      </w:rPr>
    </w:lvl>
    <w:lvl w:ilvl="2">
      <w:numFmt w:val="bullet"/>
      <w:lvlText w:val="•"/>
      <w:lvlJc w:val="left"/>
      <w:pPr>
        <w:ind w:left="2049" w:hanging="284"/>
      </w:pPr>
      <w:rPr>
        <w:rFonts w:hint="default"/>
        <w:lang w:val="id" w:eastAsia="en-US" w:bidi="ar-SA"/>
      </w:rPr>
    </w:lvl>
    <w:lvl w:ilvl="3">
      <w:numFmt w:val="bullet"/>
      <w:lvlText w:val="•"/>
      <w:lvlJc w:val="left"/>
      <w:pPr>
        <w:ind w:left="2884" w:hanging="284"/>
      </w:pPr>
      <w:rPr>
        <w:rFonts w:hint="default"/>
        <w:lang w:val="id" w:eastAsia="en-US" w:bidi="ar-SA"/>
      </w:rPr>
    </w:lvl>
    <w:lvl w:ilvl="4">
      <w:numFmt w:val="bullet"/>
      <w:lvlText w:val="•"/>
      <w:lvlJc w:val="left"/>
      <w:pPr>
        <w:ind w:left="3719" w:hanging="284"/>
      </w:pPr>
      <w:rPr>
        <w:rFonts w:hint="default"/>
        <w:lang w:val="id" w:eastAsia="en-US" w:bidi="ar-SA"/>
      </w:rPr>
    </w:lvl>
    <w:lvl w:ilvl="5">
      <w:numFmt w:val="bullet"/>
      <w:lvlText w:val="•"/>
      <w:lvlJc w:val="left"/>
      <w:pPr>
        <w:ind w:left="4554" w:hanging="284"/>
      </w:pPr>
      <w:rPr>
        <w:rFonts w:hint="default"/>
        <w:lang w:val="id" w:eastAsia="en-US" w:bidi="ar-SA"/>
      </w:rPr>
    </w:lvl>
    <w:lvl w:ilvl="6">
      <w:numFmt w:val="bullet"/>
      <w:lvlText w:val="•"/>
      <w:lvlJc w:val="left"/>
      <w:pPr>
        <w:ind w:left="5388" w:hanging="284"/>
      </w:pPr>
      <w:rPr>
        <w:rFonts w:hint="default"/>
        <w:lang w:val="id" w:eastAsia="en-US" w:bidi="ar-SA"/>
      </w:rPr>
    </w:lvl>
    <w:lvl w:ilvl="7">
      <w:numFmt w:val="bullet"/>
      <w:lvlText w:val="•"/>
      <w:lvlJc w:val="left"/>
      <w:pPr>
        <w:ind w:left="6223" w:hanging="284"/>
      </w:pPr>
      <w:rPr>
        <w:rFonts w:hint="default"/>
        <w:lang w:val="id" w:eastAsia="en-US" w:bidi="ar-SA"/>
      </w:rPr>
    </w:lvl>
    <w:lvl w:ilvl="8">
      <w:numFmt w:val="bullet"/>
      <w:lvlText w:val="•"/>
      <w:lvlJc w:val="left"/>
      <w:pPr>
        <w:ind w:left="7058" w:hanging="284"/>
      </w:pPr>
      <w:rPr>
        <w:rFonts w:hint="default"/>
        <w:lang w:val="id" w:eastAsia="en-US" w:bidi="ar-SA"/>
      </w:rPr>
    </w:lvl>
  </w:abstractNum>
  <w:abstractNum w:abstractNumId="2" w15:restartNumberingAfterBreak="0">
    <w:nsid w:val="03D62ECE"/>
    <w:multiLevelType w:val="multilevel"/>
    <w:tmpl w:val="03D62ECE"/>
    <w:lvl w:ilvl="0">
      <w:start w:val="1"/>
      <w:numFmt w:val="lowerLetter"/>
      <w:lvlText w:val="%1."/>
      <w:lvlJc w:val="left"/>
      <w:pPr>
        <w:ind w:left="364" w:hanging="204"/>
        <w:jc w:val="left"/>
      </w:pPr>
      <w:rPr>
        <w:rFonts w:ascii="Arial MT" w:eastAsia="Arial MT" w:hAnsi="Arial MT" w:cs="Arial MT" w:hint="default"/>
        <w:b w:val="0"/>
        <w:bCs w:val="0"/>
        <w:i w:val="0"/>
        <w:iCs w:val="0"/>
        <w:color w:val="000104"/>
        <w:spacing w:val="0"/>
        <w:w w:val="100"/>
        <w:sz w:val="18"/>
        <w:szCs w:val="18"/>
        <w:lang w:val="id" w:eastAsia="en-US" w:bidi="ar-SA"/>
      </w:rPr>
    </w:lvl>
    <w:lvl w:ilvl="1">
      <w:numFmt w:val="bullet"/>
      <w:lvlText w:val="•"/>
      <w:lvlJc w:val="left"/>
      <w:pPr>
        <w:ind w:left="1196" w:hanging="204"/>
      </w:pPr>
      <w:rPr>
        <w:rFonts w:hint="default"/>
        <w:lang w:val="id" w:eastAsia="en-US" w:bidi="ar-SA"/>
      </w:rPr>
    </w:lvl>
    <w:lvl w:ilvl="2">
      <w:numFmt w:val="bullet"/>
      <w:lvlText w:val="•"/>
      <w:lvlJc w:val="left"/>
      <w:pPr>
        <w:ind w:left="2033" w:hanging="204"/>
      </w:pPr>
      <w:rPr>
        <w:rFonts w:hint="default"/>
        <w:lang w:val="id" w:eastAsia="en-US" w:bidi="ar-SA"/>
      </w:rPr>
    </w:lvl>
    <w:lvl w:ilvl="3">
      <w:numFmt w:val="bullet"/>
      <w:lvlText w:val="•"/>
      <w:lvlJc w:val="left"/>
      <w:pPr>
        <w:ind w:left="2870" w:hanging="204"/>
      </w:pPr>
      <w:rPr>
        <w:rFonts w:hint="default"/>
        <w:lang w:val="id" w:eastAsia="en-US" w:bidi="ar-SA"/>
      </w:rPr>
    </w:lvl>
    <w:lvl w:ilvl="4">
      <w:numFmt w:val="bullet"/>
      <w:lvlText w:val="•"/>
      <w:lvlJc w:val="left"/>
      <w:pPr>
        <w:ind w:left="3707" w:hanging="204"/>
      </w:pPr>
      <w:rPr>
        <w:rFonts w:hint="default"/>
        <w:lang w:val="id" w:eastAsia="en-US" w:bidi="ar-SA"/>
      </w:rPr>
    </w:lvl>
    <w:lvl w:ilvl="5">
      <w:numFmt w:val="bullet"/>
      <w:lvlText w:val="•"/>
      <w:lvlJc w:val="left"/>
      <w:pPr>
        <w:ind w:left="4544" w:hanging="204"/>
      </w:pPr>
      <w:rPr>
        <w:rFonts w:hint="default"/>
        <w:lang w:val="id" w:eastAsia="en-US" w:bidi="ar-SA"/>
      </w:rPr>
    </w:lvl>
    <w:lvl w:ilvl="6">
      <w:numFmt w:val="bullet"/>
      <w:lvlText w:val="•"/>
      <w:lvlJc w:val="left"/>
      <w:pPr>
        <w:ind w:left="5380" w:hanging="204"/>
      </w:pPr>
      <w:rPr>
        <w:rFonts w:hint="default"/>
        <w:lang w:val="id" w:eastAsia="en-US" w:bidi="ar-SA"/>
      </w:rPr>
    </w:lvl>
    <w:lvl w:ilvl="7">
      <w:numFmt w:val="bullet"/>
      <w:lvlText w:val="•"/>
      <w:lvlJc w:val="left"/>
      <w:pPr>
        <w:ind w:left="6217" w:hanging="204"/>
      </w:pPr>
      <w:rPr>
        <w:rFonts w:hint="default"/>
        <w:lang w:val="id" w:eastAsia="en-US" w:bidi="ar-SA"/>
      </w:rPr>
    </w:lvl>
    <w:lvl w:ilvl="8">
      <w:numFmt w:val="bullet"/>
      <w:lvlText w:val="•"/>
      <w:lvlJc w:val="left"/>
      <w:pPr>
        <w:ind w:left="7054" w:hanging="204"/>
      </w:pPr>
      <w:rPr>
        <w:rFonts w:hint="default"/>
        <w:lang w:val="id" w:eastAsia="en-US" w:bidi="ar-SA"/>
      </w:rPr>
    </w:lvl>
  </w:abstractNum>
  <w:abstractNum w:abstractNumId="3" w15:restartNumberingAfterBreak="0">
    <w:nsid w:val="09BF190B"/>
    <w:multiLevelType w:val="hybridMultilevel"/>
    <w:tmpl w:val="E11CAD20"/>
    <w:lvl w:ilvl="0" w:tplc="1A36011E">
      <w:start w:val="1"/>
      <w:numFmt w:val="lowerLetter"/>
      <w:lvlText w:val="%1."/>
      <w:lvlJc w:val="left"/>
      <w:pPr>
        <w:ind w:left="809" w:hanging="202"/>
        <w:jc w:val="left"/>
      </w:pPr>
      <w:rPr>
        <w:rFonts w:ascii="Arial MT" w:eastAsia="Arial MT" w:hAnsi="Arial MT" w:cs="Arial MT" w:hint="default"/>
        <w:b w:val="0"/>
        <w:bCs w:val="0"/>
        <w:i w:val="0"/>
        <w:iCs w:val="0"/>
        <w:color w:val="000104"/>
        <w:spacing w:val="0"/>
        <w:w w:val="100"/>
        <w:sz w:val="18"/>
        <w:szCs w:val="18"/>
        <w:lang w:val="en-US" w:eastAsia="en-US" w:bidi="ar-SA"/>
      </w:rPr>
    </w:lvl>
    <w:lvl w:ilvl="1" w:tplc="21A0800A">
      <w:numFmt w:val="bullet"/>
      <w:lvlText w:val="•"/>
      <w:lvlJc w:val="left"/>
      <w:pPr>
        <w:ind w:left="1070" w:hanging="202"/>
      </w:pPr>
      <w:rPr>
        <w:rFonts w:hint="default"/>
        <w:lang w:val="en-US" w:eastAsia="en-US" w:bidi="ar-SA"/>
      </w:rPr>
    </w:lvl>
    <w:lvl w:ilvl="2" w:tplc="83282AD2">
      <w:numFmt w:val="bullet"/>
      <w:lvlText w:val="•"/>
      <w:lvlJc w:val="left"/>
      <w:pPr>
        <w:ind w:left="1341" w:hanging="202"/>
      </w:pPr>
      <w:rPr>
        <w:rFonts w:hint="default"/>
        <w:lang w:val="en-US" w:eastAsia="en-US" w:bidi="ar-SA"/>
      </w:rPr>
    </w:lvl>
    <w:lvl w:ilvl="3" w:tplc="FD78ADBA">
      <w:numFmt w:val="bullet"/>
      <w:lvlText w:val="•"/>
      <w:lvlJc w:val="left"/>
      <w:pPr>
        <w:ind w:left="1612" w:hanging="202"/>
      </w:pPr>
      <w:rPr>
        <w:rFonts w:hint="default"/>
        <w:lang w:val="en-US" w:eastAsia="en-US" w:bidi="ar-SA"/>
      </w:rPr>
    </w:lvl>
    <w:lvl w:ilvl="4" w:tplc="4DBA646A">
      <w:numFmt w:val="bullet"/>
      <w:lvlText w:val="•"/>
      <w:lvlJc w:val="left"/>
      <w:pPr>
        <w:ind w:left="1883" w:hanging="202"/>
      </w:pPr>
      <w:rPr>
        <w:rFonts w:hint="default"/>
        <w:lang w:val="en-US" w:eastAsia="en-US" w:bidi="ar-SA"/>
      </w:rPr>
    </w:lvl>
    <w:lvl w:ilvl="5" w:tplc="92E49746">
      <w:numFmt w:val="bullet"/>
      <w:lvlText w:val="•"/>
      <w:lvlJc w:val="left"/>
      <w:pPr>
        <w:ind w:left="2154" w:hanging="202"/>
      </w:pPr>
      <w:rPr>
        <w:rFonts w:hint="default"/>
        <w:lang w:val="en-US" w:eastAsia="en-US" w:bidi="ar-SA"/>
      </w:rPr>
    </w:lvl>
    <w:lvl w:ilvl="6" w:tplc="DA56C0F4">
      <w:numFmt w:val="bullet"/>
      <w:lvlText w:val="•"/>
      <w:lvlJc w:val="left"/>
      <w:pPr>
        <w:ind w:left="2424" w:hanging="202"/>
      </w:pPr>
      <w:rPr>
        <w:rFonts w:hint="default"/>
        <w:lang w:val="en-US" w:eastAsia="en-US" w:bidi="ar-SA"/>
      </w:rPr>
    </w:lvl>
    <w:lvl w:ilvl="7" w:tplc="DDC6A962">
      <w:numFmt w:val="bullet"/>
      <w:lvlText w:val="•"/>
      <w:lvlJc w:val="left"/>
      <w:pPr>
        <w:ind w:left="2695" w:hanging="202"/>
      </w:pPr>
      <w:rPr>
        <w:rFonts w:hint="default"/>
        <w:lang w:val="en-US" w:eastAsia="en-US" w:bidi="ar-SA"/>
      </w:rPr>
    </w:lvl>
    <w:lvl w:ilvl="8" w:tplc="A56ED6DC">
      <w:numFmt w:val="bullet"/>
      <w:lvlText w:val="•"/>
      <w:lvlJc w:val="left"/>
      <w:pPr>
        <w:ind w:left="2966" w:hanging="202"/>
      </w:pPr>
      <w:rPr>
        <w:rFonts w:hint="default"/>
        <w:lang w:val="en-US" w:eastAsia="en-US" w:bidi="ar-SA"/>
      </w:rPr>
    </w:lvl>
  </w:abstractNum>
  <w:abstractNum w:abstractNumId="4" w15:restartNumberingAfterBreak="0">
    <w:nsid w:val="15EA78A8"/>
    <w:multiLevelType w:val="hybridMultilevel"/>
    <w:tmpl w:val="52D2913E"/>
    <w:lvl w:ilvl="0" w:tplc="8AEC1F2A">
      <w:start w:val="10"/>
      <w:numFmt w:val="upperLetter"/>
      <w:lvlText w:val="%1."/>
      <w:lvlJc w:val="left"/>
      <w:pPr>
        <w:ind w:left="2610" w:hanging="360"/>
      </w:pPr>
      <w:rPr>
        <w:b/>
      </w:r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5" w15:restartNumberingAfterBreak="0">
    <w:nsid w:val="17942F1E"/>
    <w:multiLevelType w:val="hybridMultilevel"/>
    <w:tmpl w:val="B49C4FE8"/>
    <w:lvl w:ilvl="0" w:tplc="CEE253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B654F3"/>
    <w:multiLevelType w:val="multilevel"/>
    <w:tmpl w:val="25B654F3"/>
    <w:lvl w:ilvl="0">
      <w:start w:val="1"/>
      <w:numFmt w:val="lowerLetter"/>
      <w:lvlText w:val="%1."/>
      <w:lvlJc w:val="left"/>
      <w:pPr>
        <w:ind w:left="52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1">
      <w:numFmt w:val="bullet"/>
      <w:lvlText w:val="•"/>
      <w:lvlJc w:val="left"/>
      <w:pPr>
        <w:ind w:left="1340" w:hanging="361"/>
      </w:pPr>
      <w:rPr>
        <w:rFonts w:hint="default"/>
        <w:lang w:val="id" w:eastAsia="en-US" w:bidi="ar-SA"/>
      </w:rPr>
    </w:lvl>
    <w:lvl w:ilvl="2">
      <w:numFmt w:val="bullet"/>
      <w:lvlText w:val="•"/>
      <w:lvlJc w:val="left"/>
      <w:pPr>
        <w:ind w:left="2161" w:hanging="361"/>
      </w:pPr>
      <w:rPr>
        <w:rFonts w:hint="default"/>
        <w:lang w:val="id" w:eastAsia="en-US" w:bidi="ar-SA"/>
      </w:rPr>
    </w:lvl>
    <w:lvl w:ilvl="3">
      <w:numFmt w:val="bullet"/>
      <w:lvlText w:val="•"/>
      <w:lvlJc w:val="left"/>
      <w:pPr>
        <w:ind w:left="2982" w:hanging="361"/>
      </w:pPr>
      <w:rPr>
        <w:rFonts w:hint="default"/>
        <w:lang w:val="id" w:eastAsia="en-US" w:bidi="ar-SA"/>
      </w:rPr>
    </w:lvl>
    <w:lvl w:ilvl="4">
      <w:numFmt w:val="bullet"/>
      <w:lvlText w:val="•"/>
      <w:lvlJc w:val="left"/>
      <w:pPr>
        <w:ind w:left="3803" w:hanging="361"/>
      </w:pPr>
      <w:rPr>
        <w:rFonts w:hint="default"/>
        <w:lang w:val="id" w:eastAsia="en-US" w:bidi="ar-SA"/>
      </w:rPr>
    </w:lvl>
    <w:lvl w:ilvl="5">
      <w:numFmt w:val="bullet"/>
      <w:lvlText w:val="•"/>
      <w:lvlJc w:val="left"/>
      <w:pPr>
        <w:ind w:left="4624" w:hanging="361"/>
      </w:pPr>
      <w:rPr>
        <w:rFonts w:hint="default"/>
        <w:lang w:val="id" w:eastAsia="en-US" w:bidi="ar-SA"/>
      </w:rPr>
    </w:lvl>
    <w:lvl w:ilvl="6">
      <w:numFmt w:val="bullet"/>
      <w:lvlText w:val="•"/>
      <w:lvlJc w:val="left"/>
      <w:pPr>
        <w:ind w:left="5444" w:hanging="361"/>
      </w:pPr>
      <w:rPr>
        <w:rFonts w:hint="default"/>
        <w:lang w:val="id" w:eastAsia="en-US" w:bidi="ar-SA"/>
      </w:rPr>
    </w:lvl>
    <w:lvl w:ilvl="7">
      <w:numFmt w:val="bullet"/>
      <w:lvlText w:val="•"/>
      <w:lvlJc w:val="left"/>
      <w:pPr>
        <w:ind w:left="6265" w:hanging="361"/>
      </w:pPr>
      <w:rPr>
        <w:rFonts w:hint="default"/>
        <w:lang w:val="id" w:eastAsia="en-US" w:bidi="ar-SA"/>
      </w:rPr>
    </w:lvl>
    <w:lvl w:ilvl="8">
      <w:numFmt w:val="bullet"/>
      <w:lvlText w:val="•"/>
      <w:lvlJc w:val="left"/>
      <w:pPr>
        <w:ind w:left="7086" w:hanging="361"/>
      </w:pPr>
      <w:rPr>
        <w:rFonts w:hint="default"/>
        <w:lang w:val="id" w:eastAsia="en-US" w:bidi="ar-SA"/>
      </w:rPr>
    </w:lvl>
  </w:abstractNum>
  <w:abstractNum w:abstractNumId="7" w15:restartNumberingAfterBreak="0">
    <w:nsid w:val="72183CF9"/>
    <w:multiLevelType w:val="multilevel"/>
    <w:tmpl w:val="72183CF9"/>
    <w:lvl w:ilvl="0">
      <w:start w:val="1"/>
      <w:numFmt w:val="lowerLetter"/>
      <w:lvlText w:val="%1."/>
      <w:lvlJc w:val="left"/>
      <w:pPr>
        <w:ind w:left="528"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1340" w:hanging="361"/>
      </w:pPr>
      <w:rPr>
        <w:rFonts w:hint="default"/>
        <w:lang w:val="id" w:eastAsia="en-US" w:bidi="ar-SA"/>
      </w:rPr>
    </w:lvl>
    <w:lvl w:ilvl="2">
      <w:numFmt w:val="bullet"/>
      <w:lvlText w:val="•"/>
      <w:lvlJc w:val="left"/>
      <w:pPr>
        <w:ind w:left="2161" w:hanging="361"/>
      </w:pPr>
      <w:rPr>
        <w:rFonts w:hint="default"/>
        <w:lang w:val="id" w:eastAsia="en-US" w:bidi="ar-SA"/>
      </w:rPr>
    </w:lvl>
    <w:lvl w:ilvl="3">
      <w:numFmt w:val="bullet"/>
      <w:lvlText w:val="•"/>
      <w:lvlJc w:val="left"/>
      <w:pPr>
        <w:ind w:left="2982" w:hanging="361"/>
      </w:pPr>
      <w:rPr>
        <w:rFonts w:hint="default"/>
        <w:lang w:val="id" w:eastAsia="en-US" w:bidi="ar-SA"/>
      </w:rPr>
    </w:lvl>
    <w:lvl w:ilvl="4">
      <w:numFmt w:val="bullet"/>
      <w:lvlText w:val="•"/>
      <w:lvlJc w:val="left"/>
      <w:pPr>
        <w:ind w:left="3803" w:hanging="361"/>
      </w:pPr>
      <w:rPr>
        <w:rFonts w:hint="default"/>
        <w:lang w:val="id" w:eastAsia="en-US" w:bidi="ar-SA"/>
      </w:rPr>
    </w:lvl>
    <w:lvl w:ilvl="5">
      <w:numFmt w:val="bullet"/>
      <w:lvlText w:val="•"/>
      <w:lvlJc w:val="left"/>
      <w:pPr>
        <w:ind w:left="4624" w:hanging="361"/>
      </w:pPr>
      <w:rPr>
        <w:rFonts w:hint="default"/>
        <w:lang w:val="id" w:eastAsia="en-US" w:bidi="ar-SA"/>
      </w:rPr>
    </w:lvl>
    <w:lvl w:ilvl="6">
      <w:numFmt w:val="bullet"/>
      <w:lvlText w:val="•"/>
      <w:lvlJc w:val="left"/>
      <w:pPr>
        <w:ind w:left="5444" w:hanging="361"/>
      </w:pPr>
      <w:rPr>
        <w:rFonts w:hint="default"/>
        <w:lang w:val="id" w:eastAsia="en-US" w:bidi="ar-SA"/>
      </w:rPr>
    </w:lvl>
    <w:lvl w:ilvl="7">
      <w:numFmt w:val="bullet"/>
      <w:lvlText w:val="•"/>
      <w:lvlJc w:val="left"/>
      <w:pPr>
        <w:ind w:left="6265" w:hanging="361"/>
      </w:pPr>
      <w:rPr>
        <w:rFonts w:hint="default"/>
        <w:lang w:val="id" w:eastAsia="en-US" w:bidi="ar-SA"/>
      </w:rPr>
    </w:lvl>
    <w:lvl w:ilvl="8">
      <w:numFmt w:val="bullet"/>
      <w:lvlText w:val="•"/>
      <w:lvlJc w:val="left"/>
      <w:pPr>
        <w:ind w:left="7086" w:hanging="361"/>
      </w:pPr>
      <w:rPr>
        <w:rFonts w:hint="default"/>
        <w:lang w:val="id" w:eastAsia="en-US" w:bidi="ar-SA"/>
      </w:rPr>
    </w:lvl>
  </w:abstractNum>
  <w:abstractNum w:abstractNumId="8" w15:restartNumberingAfterBreak="0">
    <w:nsid w:val="732D5074"/>
    <w:multiLevelType w:val="hybridMultilevel"/>
    <w:tmpl w:val="4F2EF2B6"/>
    <w:lvl w:ilvl="0" w:tplc="C69A8072">
      <w:start w:val="1"/>
      <w:numFmt w:val="lowerLetter"/>
      <w:lvlText w:val="%1."/>
      <w:lvlJc w:val="left"/>
      <w:pPr>
        <w:ind w:left="809" w:hanging="202"/>
        <w:jc w:val="left"/>
      </w:pPr>
      <w:rPr>
        <w:rFonts w:ascii="Arial MT" w:eastAsia="Arial MT" w:hAnsi="Arial MT" w:cs="Arial MT" w:hint="default"/>
        <w:b w:val="0"/>
        <w:bCs w:val="0"/>
        <w:i w:val="0"/>
        <w:iCs w:val="0"/>
        <w:color w:val="000104"/>
        <w:spacing w:val="0"/>
        <w:w w:val="100"/>
        <w:sz w:val="18"/>
        <w:szCs w:val="18"/>
        <w:lang w:val="en-US" w:eastAsia="en-US" w:bidi="ar-SA"/>
      </w:rPr>
    </w:lvl>
    <w:lvl w:ilvl="1" w:tplc="0F0C8C18">
      <w:numFmt w:val="bullet"/>
      <w:lvlText w:val="•"/>
      <w:lvlJc w:val="left"/>
      <w:pPr>
        <w:ind w:left="1614" w:hanging="202"/>
      </w:pPr>
      <w:rPr>
        <w:rFonts w:hint="default"/>
        <w:lang w:val="en-US" w:eastAsia="en-US" w:bidi="ar-SA"/>
      </w:rPr>
    </w:lvl>
    <w:lvl w:ilvl="2" w:tplc="08D04CBC">
      <w:numFmt w:val="bullet"/>
      <w:lvlText w:val="•"/>
      <w:lvlJc w:val="left"/>
      <w:pPr>
        <w:ind w:left="2428" w:hanging="202"/>
      </w:pPr>
      <w:rPr>
        <w:rFonts w:hint="default"/>
        <w:lang w:val="en-US" w:eastAsia="en-US" w:bidi="ar-SA"/>
      </w:rPr>
    </w:lvl>
    <w:lvl w:ilvl="3" w:tplc="22628B6E">
      <w:numFmt w:val="bullet"/>
      <w:lvlText w:val="•"/>
      <w:lvlJc w:val="left"/>
      <w:pPr>
        <w:ind w:left="3242" w:hanging="202"/>
      </w:pPr>
      <w:rPr>
        <w:rFonts w:hint="default"/>
        <w:lang w:val="en-US" w:eastAsia="en-US" w:bidi="ar-SA"/>
      </w:rPr>
    </w:lvl>
    <w:lvl w:ilvl="4" w:tplc="8570943A">
      <w:numFmt w:val="bullet"/>
      <w:lvlText w:val="•"/>
      <w:lvlJc w:val="left"/>
      <w:pPr>
        <w:ind w:left="4056" w:hanging="202"/>
      </w:pPr>
      <w:rPr>
        <w:rFonts w:hint="default"/>
        <w:lang w:val="en-US" w:eastAsia="en-US" w:bidi="ar-SA"/>
      </w:rPr>
    </w:lvl>
    <w:lvl w:ilvl="5" w:tplc="07246578">
      <w:numFmt w:val="bullet"/>
      <w:lvlText w:val="•"/>
      <w:lvlJc w:val="left"/>
      <w:pPr>
        <w:ind w:left="4870" w:hanging="202"/>
      </w:pPr>
      <w:rPr>
        <w:rFonts w:hint="default"/>
        <w:lang w:val="en-US" w:eastAsia="en-US" w:bidi="ar-SA"/>
      </w:rPr>
    </w:lvl>
    <w:lvl w:ilvl="6" w:tplc="012C48F0">
      <w:numFmt w:val="bullet"/>
      <w:lvlText w:val="•"/>
      <w:lvlJc w:val="left"/>
      <w:pPr>
        <w:ind w:left="5684" w:hanging="202"/>
      </w:pPr>
      <w:rPr>
        <w:rFonts w:hint="default"/>
        <w:lang w:val="en-US" w:eastAsia="en-US" w:bidi="ar-SA"/>
      </w:rPr>
    </w:lvl>
    <w:lvl w:ilvl="7" w:tplc="B2002CC0">
      <w:numFmt w:val="bullet"/>
      <w:lvlText w:val="•"/>
      <w:lvlJc w:val="left"/>
      <w:pPr>
        <w:ind w:left="6498" w:hanging="202"/>
      </w:pPr>
      <w:rPr>
        <w:rFonts w:hint="default"/>
        <w:lang w:val="en-US" w:eastAsia="en-US" w:bidi="ar-SA"/>
      </w:rPr>
    </w:lvl>
    <w:lvl w:ilvl="8" w:tplc="2B6ACCBE">
      <w:numFmt w:val="bullet"/>
      <w:lvlText w:val="•"/>
      <w:lvlJc w:val="left"/>
      <w:pPr>
        <w:ind w:left="7312" w:hanging="202"/>
      </w:pPr>
      <w:rPr>
        <w:rFonts w:hint="default"/>
        <w:lang w:val="en-US" w:eastAsia="en-US" w:bidi="ar-SA"/>
      </w:rPr>
    </w:lvl>
  </w:abstractNum>
  <w:num w:numId="1">
    <w:abstractNumId w:val="1"/>
  </w:num>
  <w:num w:numId="2">
    <w:abstractNumId w:val="0"/>
  </w:num>
  <w:num w:numId="3">
    <w:abstractNumId w:val="2"/>
  </w:num>
  <w:num w:numId="4">
    <w:abstractNumId w:val="6"/>
  </w:num>
  <w:num w:numId="5">
    <w:abstractNumId w:val="7"/>
  </w:num>
  <w:num w:numId="6">
    <w:abstractNumId w:val="5"/>
  </w:num>
  <w:num w:numId="7">
    <w:abstractNumId w:val="3"/>
  </w:num>
  <w:num w:numId="8">
    <w:abstractNumId w:val="8"/>
  </w:num>
  <w:num w:numId="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69"/>
    <w:rsid w:val="0003637F"/>
    <w:rsid w:val="001A7CFA"/>
    <w:rsid w:val="0031438C"/>
    <w:rsid w:val="003E1EFB"/>
    <w:rsid w:val="0047739C"/>
    <w:rsid w:val="00651BC3"/>
    <w:rsid w:val="00704167"/>
    <w:rsid w:val="00707BF3"/>
    <w:rsid w:val="00796457"/>
    <w:rsid w:val="008E5232"/>
    <w:rsid w:val="0092449A"/>
    <w:rsid w:val="00A77C53"/>
    <w:rsid w:val="00B40E26"/>
    <w:rsid w:val="00C03F13"/>
    <w:rsid w:val="00CC0943"/>
    <w:rsid w:val="00D00214"/>
    <w:rsid w:val="00D57F69"/>
    <w:rsid w:val="00D82953"/>
    <w:rsid w:val="00E066CC"/>
    <w:rsid w:val="00E0730B"/>
    <w:rsid w:val="00E14396"/>
    <w:rsid w:val="00FA043B"/>
    <w:rsid w:val="1F4F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16324-8321-4223-8EA7-6F5B4B8C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rPr>
  </w:style>
  <w:style w:type="paragraph" w:styleId="Heading1">
    <w:name w:val="heading 1"/>
    <w:basedOn w:val="Normal"/>
    <w:uiPriority w:val="1"/>
    <w:qFormat/>
    <w:pPr>
      <w:spacing w:line="318" w:lineRule="exact"/>
      <w:ind w:left="100"/>
      <w:outlineLvl w:val="0"/>
    </w:pPr>
    <w:rPr>
      <w:b/>
      <w:bCs/>
      <w:sz w:val="28"/>
      <w:szCs w:val="28"/>
    </w:rPr>
  </w:style>
  <w:style w:type="paragraph" w:styleId="Heading2">
    <w:name w:val="heading 2"/>
    <w:basedOn w:val="Normal"/>
    <w:uiPriority w:val="1"/>
    <w:qFormat/>
    <w:pPr>
      <w:ind w:left="100"/>
      <w:outlineLvl w:val="1"/>
    </w:pPr>
    <w:rPr>
      <w:b/>
      <w:bCs/>
      <w:sz w:val="28"/>
      <w:szCs w:val="28"/>
    </w:rPr>
  </w:style>
  <w:style w:type="paragraph" w:styleId="Heading3">
    <w:name w:val="heading 3"/>
    <w:basedOn w:val="Normal"/>
    <w:uiPriority w:val="1"/>
    <w:qFormat/>
    <w:pPr>
      <w:spacing w:line="274" w:lineRule="exact"/>
      <w:ind w:left="10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aliases w:val="skripsi,Body of text,List Paragraph1,Colorful List - Accent 11,Body of text+1,Body of text+2,Body of text+3,List Paragraph11,Medium Grid 1 - Accent 21,spasi 2 taiiii"/>
    <w:basedOn w:val="Normal"/>
    <w:link w:val="ListParagraphChar"/>
    <w:uiPriority w:val="34"/>
    <w:qFormat/>
    <w:pPr>
      <w:ind w:left="528" w:hanging="361"/>
      <w:jc w:val="both"/>
    </w:pPr>
  </w:style>
  <w:style w:type="paragraph" w:customStyle="1" w:styleId="TableParagraph">
    <w:name w:val="Table Paragraph"/>
    <w:basedOn w:val="Normal"/>
    <w:uiPriority w:val="1"/>
    <w:qFormat/>
    <w:pPr>
      <w:spacing w:line="193" w:lineRule="exact"/>
    </w:pPr>
    <w:rPr>
      <w:rFonts w:ascii="Arial MT" w:eastAsia="Arial MT" w:hAnsi="Arial MT" w:cs="Arial MT"/>
    </w:rPr>
  </w:style>
  <w:style w:type="character" w:customStyle="1" w:styleId="ListParagraphChar">
    <w:name w:val="List Paragraph Char"/>
    <w:aliases w:val="skripsi Char,Body of text Char,List Paragraph1 Char,Colorful List - Accent 11 Char,Body of text+1 Char,Body of text+2 Char,Body of text+3 Char,List Paragraph11 Char,Medium Grid 1 - Accent 21 Char,spasi 2 taiiii Char"/>
    <w:link w:val="ListParagraph"/>
    <w:uiPriority w:val="34"/>
    <w:locked/>
    <w:rsid w:val="00CC0943"/>
    <w:rPr>
      <w:rFonts w:ascii="Times New Roman" w:eastAsia="Times New Roman" w:hAnsi="Times New Roman" w:cs="Times New Roman"/>
      <w:sz w:val="22"/>
      <w:szCs w:val="22"/>
      <w:lang w:val="id"/>
    </w:rPr>
  </w:style>
  <w:style w:type="character" w:styleId="Hyperlink">
    <w:name w:val="Hyperlink"/>
    <w:basedOn w:val="DefaultParagraphFont"/>
    <w:uiPriority w:val="99"/>
    <w:unhideWhenUsed/>
    <w:rsid w:val="00E073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510058">
      <w:bodyDiv w:val="1"/>
      <w:marLeft w:val="0"/>
      <w:marRight w:val="0"/>
      <w:marTop w:val="0"/>
      <w:marBottom w:val="0"/>
      <w:divBdr>
        <w:top w:val="none" w:sz="0" w:space="0" w:color="auto"/>
        <w:left w:val="none" w:sz="0" w:space="0" w:color="auto"/>
        <w:bottom w:val="none" w:sz="0" w:space="0" w:color="auto"/>
        <w:right w:val="none" w:sz="0" w:space="0" w:color="auto"/>
      </w:divBdr>
    </w:div>
    <w:div w:id="197146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urn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js.stie-tdn.ac.id/index.php/mv" TargetMode="External"/><Relationship Id="rId5" Type="http://schemas.openxmlformats.org/officeDocument/2006/relationships/settings" Target="settings.xml"/><Relationship Id="rId10" Type="http://schemas.openxmlformats.org/officeDocument/2006/relationships/hyperlink" Target="https://ilmumanajemenindustri.com/" TargetMode="External"/><Relationship Id="rId4" Type="http://schemas.openxmlformats.org/officeDocument/2006/relationships/styles" Target="styles.xml"/><Relationship Id="rId9" Type="http://schemas.openxmlformats.org/officeDocument/2006/relationships/hyperlink" Target="mailto:suciindahsariii1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33F30C-9B5C-4500-9053-D53463BB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432</dc:creator>
  <cp:lastModifiedBy>Microsoft account</cp:lastModifiedBy>
  <cp:revision>2</cp:revision>
  <cp:lastPrinted>2024-05-13T00:41:00Z</cp:lastPrinted>
  <dcterms:created xsi:type="dcterms:W3CDTF">2024-05-28T09:04:00Z</dcterms:created>
  <dcterms:modified xsi:type="dcterms:W3CDTF">2024-05-28T09:04:00Z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2024-05-12T00:00:00Z</vt:filetime>
  </property>
  <property fmtid="{D5CDD505-2E9C-101B-9397-08002B2CF9AE}" pid="3" name="Creator">
    <vt:lpwstr>Microsoft® Word 2010</vt:lpwstr>
  </property>
  <property fmtid="{D5CDD505-2E9C-101B-9397-08002B2CF9AE}" pid="4" name="LastSaved">
    <vt:filetime>2024-05-12T00:00:00Z</vt:filetime>
  </property>
  <property fmtid="{D5CDD505-2E9C-101B-9397-08002B2CF9AE}" pid="5" name="Producer">
    <vt:lpwstr>Microsoft® Word 2010</vt:lpwstr>
  </property>
  <property fmtid="{D5CDD505-2E9C-101B-9397-08002B2CF9AE}" pid="6" name="KSOProductBuildVer">
    <vt:lpwstr>1033-12.2.0.16909</vt:lpwstr>
  </property>
  <property fmtid="{D5CDD505-2E9C-101B-9397-08002B2CF9AE}" pid="7" name="ICV">
    <vt:lpwstr>2A2C7654F253427590ABDDC4008B8D39_12</vt:lpwstr>
  </property>
</Properties>
</file>